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83" w:rsidRDefault="00742DAF" w:rsidP="00B72C6A">
      <w:pPr>
        <w:jc w:val="center"/>
        <w:rPr>
          <w:b/>
          <w:sz w:val="28"/>
          <w:szCs w:val="28"/>
        </w:rPr>
      </w:pPr>
      <w:r w:rsidRPr="00B72C6A">
        <w:rPr>
          <w:b/>
          <w:sz w:val="28"/>
          <w:szCs w:val="28"/>
        </w:rPr>
        <w:t xml:space="preserve">Protecting the </w:t>
      </w:r>
      <w:r w:rsidR="00876E60" w:rsidRPr="00B72C6A">
        <w:rPr>
          <w:b/>
          <w:sz w:val="28"/>
          <w:szCs w:val="28"/>
        </w:rPr>
        <w:t>Foxhills Open Space</w:t>
      </w:r>
      <w:r w:rsidRPr="00B72C6A">
        <w:rPr>
          <w:b/>
          <w:sz w:val="28"/>
          <w:szCs w:val="28"/>
        </w:rPr>
        <w:t xml:space="preserve"> from Development</w:t>
      </w:r>
    </w:p>
    <w:p w:rsidR="00D54546" w:rsidRPr="00B72C6A" w:rsidRDefault="00D54546" w:rsidP="00B72C6A">
      <w:pPr>
        <w:jc w:val="center"/>
        <w:rPr>
          <w:b/>
          <w:sz w:val="28"/>
          <w:szCs w:val="28"/>
        </w:rPr>
      </w:pPr>
      <w:r>
        <w:rPr>
          <w:b/>
          <w:sz w:val="28"/>
          <w:szCs w:val="28"/>
        </w:rPr>
        <w:t xml:space="preserve">Briefing Update &amp; Proposal for Further Action </w:t>
      </w:r>
    </w:p>
    <w:p w:rsidR="008E5B90" w:rsidRDefault="008E5B90" w:rsidP="00742DAF">
      <w:pPr>
        <w:pStyle w:val="Heading1"/>
        <w:spacing w:before="120" w:after="120"/>
        <w:rPr>
          <w:rFonts w:ascii="Calibri" w:hAnsi="Calibri" w:cs="Calibri"/>
          <w:color w:val="auto"/>
        </w:rPr>
      </w:pPr>
      <w:bookmarkStart w:id="0" w:name="_GoBack"/>
      <w:bookmarkEnd w:id="0"/>
      <w:r>
        <w:rPr>
          <w:rFonts w:ascii="Calibri" w:hAnsi="Calibri" w:cs="Calibri"/>
          <w:color w:val="auto"/>
        </w:rPr>
        <w:t>The Foxhills Open Space</w:t>
      </w:r>
    </w:p>
    <w:p w:rsidR="007F4D29" w:rsidRDefault="007F4D29" w:rsidP="009E3DB6">
      <w:pPr>
        <w:spacing w:after="0"/>
      </w:pPr>
      <w:r>
        <w:t xml:space="preserve">The Foxhills Open Space was created as part of an agreement between </w:t>
      </w:r>
      <w:proofErr w:type="spellStart"/>
      <w:r>
        <w:t>Morrish</w:t>
      </w:r>
      <w:proofErr w:type="spellEnd"/>
      <w:r>
        <w:t xml:space="preserve"> Builders and Purbeck District Council completed in 1995. As part of this agreement, title for the “Green Land” was to be transferred to Purbeck District Council, with the Council having obligations for the subsequent maintenance of the land, subject to a payment from </w:t>
      </w:r>
      <w:proofErr w:type="spellStart"/>
      <w:r>
        <w:t>Morrish</w:t>
      </w:r>
      <w:proofErr w:type="spellEnd"/>
      <w:r>
        <w:t xml:space="preserve"> Builders of £129,249 in respect of </w:t>
      </w:r>
      <w:r w:rsidR="007F5251">
        <w:t>this</w:t>
      </w:r>
      <w:r>
        <w:t xml:space="preserve"> maintenance.</w:t>
      </w:r>
    </w:p>
    <w:p w:rsidR="00840C58" w:rsidRDefault="00840C58" w:rsidP="00840C58">
      <w:pPr>
        <w:spacing w:after="0"/>
      </w:pPr>
      <w:r>
        <w:t>The documents reviewed to date d</w:t>
      </w:r>
      <w:r w:rsidR="009E3DB6">
        <w:t xml:space="preserve">o not include a plan of the Green Land, and </w:t>
      </w:r>
      <w:r w:rsidR="007F5251">
        <w:t>so far no</w:t>
      </w:r>
      <w:r w:rsidR="009E3DB6">
        <w:t xml:space="preserve"> restrictions on future use of th</w:t>
      </w:r>
      <w:r w:rsidR="007F5251">
        <w:t>e Green Land have been identified</w:t>
      </w:r>
      <w:r w:rsidR="009E3DB6">
        <w:t xml:space="preserve">, except that </w:t>
      </w:r>
      <w:r>
        <w:t>part of the site was already protected from development under the terms of two earlier agreements made between the owners at the time and Purbeck District Council in 1984 and 1985. This being the case, th</w:t>
      </w:r>
      <w:r w:rsidR="007F5251">
        <w:t>e</w:t>
      </w:r>
      <w:r>
        <w:t xml:space="preserve"> </w:t>
      </w:r>
      <w:r w:rsidR="00591A6A">
        <w:t>part</w:t>
      </w:r>
      <w:r>
        <w:t xml:space="preserve"> of the site</w:t>
      </w:r>
      <w:r w:rsidR="007F5251">
        <w:t xml:space="preserve"> covered by these earlier agreements</w:t>
      </w:r>
      <w:r>
        <w:t>,</w:t>
      </w:r>
      <w:r w:rsidR="007F5251">
        <w:t xml:space="preserve"> primarily</w:t>
      </w:r>
      <w:r>
        <w:t xml:space="preserve"> the southern part where there is a footpath to Deans Drove, may need to be excluded from any further action</w:t>
      </w:r>
      <w:r w:rsidR="007F5251">
        <w:t xml:space="preserve"> to avoid potential legal conflicts</w:t>
      </w:r>
      <w:r>
        <w:t>.</w:t>
      </w:r>
    </w:p>
    <w:p w:rsidR="00840C58" w:rsidRDefault="00840C58" w:rsidP="00840C58">
      <w:pPr>
        <w:spacing w:after="0"/>
      </w:pPr>
      <w:r>
        <w:t xml:space="preserve">Further investigation is required to confirm that the Lytchett Matravers Parish Council is able to proceed with any changes with respect to the Foxhills Open Space, e.g. without any involvement from Purbeck District Council. </w:t>
      </w:r>
    </w:p>
    <w:p w:rsidR="00742DAF" w:rsidRPr="00742DAF" w:rsidRDefault="00742DAF" w:rsidP="00742DAF">
      <w:pPr>
        <w:pStyle w:val="Heading1"/>
        <w:spacing w:before="120" w:after="120"/>
        <w:rPr>
          <w:rFonts w:ascii="Calibri" w:hAnsi="Calibri" w:cs="Calibri"/>
          <w:color w:val="auto"/>
        </w:rPr>
      </w:pPr>
      <w:r w:rsidRPr="00742DAF">
        <w:rPr>
          <w:rFonts w:ascii="Calibri" w:hAnsi="Calibri" w:cs="Calibri"/>
          <w:color w:val="auto"/>
        </w:rPr>
        <w:t>Options for Protecting the Land</w:t>
      </w:r>
    </w:p>
    <w:p w:rsidR="00876E60" w:rsidRPr="00B72C6A" w:rsidRDefault="00742DAF" w:rsidP="00B72C6A">
      <w:pPr>
        <w:spacing w:before="120" w:after="0"/>
        <w:rPr>
          <w:rFonts w:ascii="Calibri" w:hAnsi="Calibri" w:cs="Calibri"/>
        </w:rPr>
      </w:pPr>
      <w:r w:rsidRPr="00B72C6A">
        <w:rPr>
          <w:rFonts w:ascii="Calibri" w:hAnsi="Calibri" w:cs="Calibri"/>
        </w:rPr>
        <w:t>Three Options have been looked at:</w:t>
      </w:r>
    </w:p>
    <w:p w:rsidR="00742DAF" w:rsidRPr="00B72C6A" w:rsidRDefault="00742DAF" w:rsidP="00B72C6A">
      <w:pPr>
        <w:pStyle w:val="ListParagraph"/>
        <w:numPr>
          <w:ilvl w:val="0"/>
          <w:numId w:val="1"/>
        </w:numPr>
        <w:spacing w:before="120" w:after="0"/>
        <w:rPr>
          <w:rFonts w:ascii="Calibri" w:hAnsi="Calibri" w:cs="Calibri"/>
        </w:rPr>
      </w:pPr>
      <w:r w:rsidRPr="00B72C6A">
        <w:rPr>
          <w:rFonts w:ascii="Calibri" w:hAnsi="Calibri" w:cs="Calibri"/>
        </w:rPr>
        <w:t>Putting in place a</w:t>
      </w:r>
      <w:r w:rsidR="00D54546">
        <w:rPr>
          <w:rFonts w:ascii="Calibri" w:hAnsi="Calibri" w:cs="Calibri"/>
        </w:rPr>
        <w:t xml:space="preserve"> Deed of Dedication with the </w:t>
      </w:r>
      <w:r w:rsidR="00DC683B">
        <w:rPr>
          <w:rFonts w:ascii="Calibri" w:hAnsi="Calibri" w:cs="Calibri"/>
        </w:rPr>
        <w:t>N</w:t>
      </w:r>
      <w:r w:rsidR="00D54546">
        <w:rPr>
          <w:rFonts w:ascii="Calibri" w:hAnsi="Calibri" w:cs="Calibri"/>
        </w:rPr>
        <w:t>ational Playing Fields Association</w:t>
      </w:r>
      <w:r w:rsidR="00DC683B">
        <w:rPr>
          <w:rFonts w:ascii="Calibri" w:hAnsi="Calibri" w:cs="Calibri"/>
        </w:rPr>
        <w:t xml:space="preserve"> (operating under the name Fields in Trust).</w:t>
      </w:r>
      <w:r w:rsidR="00D54546">
        <w:rPr>
          <w:rFonts w:ascii="Calibri" w:hAnsi="Calibri" w:cs="Calibri"/>
        </w:rPr>
        <w:t xml:space="preserve"> </w:t>
      </w:r>
    </w:p>
    <w:p w:rsidR="00742DAF" w:rsidRPr="00B72C6A" w:rsidRDefault="00742DAF" w:rsidP="00B72C6A">
      <w:pPr>
        <w:pStyle w:val="ListParagraph"/>
        <w:numPr>
          <w:ilvl w:val="0"/>
          <w:numId w:val="1"/>
        </w:numPr>
        <w:spacing w:before="120" w:after="0"/>
        <w:rPr>
          <w:rFonts w:ascii="Calibri" w:hAnsi="Calibri" w:cs="Calibri"/>
        </w:rPr>
      </w:pPr>
      <w:r w:rsidRPr="00B72C6A">
        <w:rPr>
          <w:rFonts w:ascii="Calibri" w:hAnsi="Calibri" w:cs="Calibri"/>
        </w:rPr>
        <w:t xml:space="preserve">Designation as </w:t>
      </w:r>
      <w:r w:rsidR="00FD506A">
        <w:rPr>
          <w:rFonts w:ascii="Calibri" w:hAnsi="Calibri" w:cs="Calibri"/>
        </w:rPr>
        <w:t xml:space="preserve">Local </w:t>
      </w:r>
      <w:r w:rsidRPr="00B72C6A">
        <w:rPr>
          <w:rFonts w:ascii="Calibri" w:hAnsi="Calibri" w:cs="Calibri"/>
        </w:rPr>
        <w:t>Green Space</w:t>
      </w:r>
    </w:p>
    <w:p w:rsidR="00742DAF" w:rsidRPr="00B72C6A" w:rsidRDefault="00742DAF" w:rsidP="00B72C6A">
      <w:pPr>
        <w:pStyle w:val="ListParagraph"/>
        <w:numPr>
          <w:ilvl w:val="0"/>
          <w:numId w:val="1"/>
        </w:numPr>
        <w:spacing w:before="120" w:after="0"/>
        <w:rPr>
          <w:rFonts w:ascii="Calibri" w:hAnsi="Calibri" w:cs="Calibri"/>
        </w:rPr>
      </w:pPr>
      <w:r w:rsidRPr="00B72C6A">
        <w:rPr>
          <w:rFonts w:ascii="Calibri" w:hAnsi="Calibri" w:cs="Calibri"/>
        </w:rPr>
        <w:t xml:space="preserve">Gifting the Land to a Charity such as the Woodland Trust </w:t>
      </w:r>
    </w:p>
    <w:p w:rsidR="00876E60" w:rsidRPr="00B72C6A" w:rsidRDefault="00B72C6A" w:rsidP="00B72C6A">
      <w:pPr>
        <w:spacing w:before="120" w:after="0"/>
        <w:rPr>
          <w:rFonts w:ascii="Calibri" w:hAnsi="Calibri" w:cs="Calibri"/>
        </w:rPr>
      </w:pPr>
      <w:r>
        <w:rPr>
          <w:rFonts w:ascii="Calibri" w:hAnsi="Calibri" w:cs="Calibri"/>
        </w:rPr>
        <w:t xml:space="preserve">Sections </w:t>
      </w:r>
      <w:r w:rsidR="008E5B90">
        <w:rPr>
          <w:rFonts w:ascii="Calibri" w:hAnsi="Calibri" w:cs="Calibri"/>
        </w:rPr>
        <w:t>2</w:t>
      </w:r>
      <w:r>
        <w:rPr>
          <w:rFonts w:ascii="Calibri" w:hAnsi="Calibri" w:cs="Calibri"/>
        </w:rPr>
        <w:t xml:space="preserve">.1, </w:t>
      </w:r>
      <w:r w:rsidR="008E5B90">
        <w:rPr>
          <w:rFonts w:ascii="Calibri" w:hAnsi="Calibri" w:cs="Calibri"/>
        </w:rPr>
        <w:t>2</w:t>
      </w:r>
      <w:r>
        <w:rPr>
          <w:rFonts w:ascii="Calibri" w:hAnsi="Calibri" w:cs="Calibri"/>
        </w:rPr>
        <w:t xml:space="preserve">.2, and </w:t>
      </w:r>
      <w:r w:rsidR="008E5B90">
        <w:rPr>
          <w:rFonts w:ascii="Calibri" w:hAnsi="Calibri" w:cs="Calibri"/>
        </w:rPr>
        <w:t>2</w:t>
      </w:r>
      <w:r>
        <w:rPr>
          <w:rFonts w:ascii="Calibri" w:hAnsi="Calibri" w:cs="Calibri"/>
        </w:rPr>
        <w:t xml:space="preserve">.3 </w:t>
      </w:r>
      <w:r w:rsidR="00742DAF" w:rsidRPr="00B72C6A">
        <w:rPr>
          <w:rFonts w:ascii="Calibri" w:hAnsi="Calibri" w:cs="Calibri"/>
        </w:rPr>
        <w:t>summarise the results o</w:t>
      </w:r>
      <w:r w:rsidR="007F5251">
        <w:rPr>
          <w:rFonts w:ascii="Calibri" w:hAnsi="Calibri" w:cs="Calibri"/>
        </w:rPr>
        <w:t>f the work carried out</w:t>
      </w:r>
      <w:r w:rsidR="00742DAF" w:rsidRPr="00B72C6A">
        <w:rPr>
          <w:rFonts w:ascii="Calibri" w:hAnsi="Calibri" w:cs="Calibri"/>
        </w:rPr>
        <w:t xml:space="preserve"> to date.</w:t>
      </w:r>
    </w:p>
    <w:p w:rsidR="00876E60" w:rsidRPr="00742DAF" w:rsidRDefault="00742DAF" w:rsidP="00742DAF">
      <w:pPr>
        <w:pStyle w:val="Heading2"/>
        <w:rPr>
          <w:color w:val="auto"/>
        </w:rPr>
      </w:pPr>
      <w:r w:rsidRPr="00742DAF">
        <w:rPr>
          <w:color w:val="auto"/>
        </w:rPr>
        <w:t>Deed</w:t>
      </w:r>
      <w:r w:rsidR="00D54546">
        <w:rPr>
          <w:color w:val="auto"/>
        </w:rPr>
        <w:t xml:space="preserve"> of Dedication</w:t>
      </w:r>
    </w:p>
    <w:p w:rsidR="00742DAF" w:rsidRPr="00DC683B" w:rsidRDefault="00DC683B" w:rsidP="00DC683B">
      <w:pPr>
        <w:spacing w:before="120" w:after="0"/>
        <w:rPr>
          <w:rFonts w:ascii="Calibri" w:hAnsi="Calibri" w:cs="Calibri"/>
        </w:rPr>
      </w:pPr>
      <w:r w:rsidRPr="00DC683B">
        <w:rPr>
          <w:rFonts w:ascii="Calibri" w:hAnsi="Calibri" w:cs="Calibri"/>
        </w:rPr>
        <w:t xml:space="preserve">Deeds of Dedication have already been put in place with the National Playing Fields </w:t>
      </w:r>
      <w:proofErr w:type="spellStart"/>
      <w:r w:rsidRPr="00DC683B">
        <w:rPr>
          <w:rFonts w:ascii="Calibri" w:hAnsi="Calibri" w:cs="Calibri"/>
        </w:rPr>
        <w:t>Associaton</w:t>
      </w:r>
      <w:proofErr w:type="spellEnd"/>
      <w:r w:rsidRPr="00DC683B">
        <w:rPr>
          <w:rFonts w:ascii="Calibri" w:hAnsi="Calibri" w:cs="Calibri"/>
        </w:rPr>
        <w:t xml:space="preserve"> </w:t>
      </w:r>
      <w:r w:rsidR="007A301C">
        <w:rPr>
          <w:rFonts w:ascii="Calibri" w:hAnsi="Calibri" w:cs="Calibri"/>
        </w:rPr>
        <w:t xml:space="preserve">(NPFA) </w:t>
      </w:r>
      <w:r w:rsidRPr="00DC683B">
        <w:rPr>
          <w:rFonts w:ascii="Calibri" w:hAnsi="Calibri" w:cs="Calibri"/>
        </w:rPr>
        <w:t>for spaces within Lytchett Matravers, notably the Recreation Ground (completed in July 2013).</w:t>
      </w:r>
      <w:r>
        <w:rPr>
          <w:rFonts w:ascii="Calibri" w:hAnsi="Calibri" w:cs="Calibri"/>
        </w:rPr>
        <w:t xml:space="preserve"> Using the</w:t>
      </w:r>
      <w:r w:rsidR="007A301C">
        <w:rPr>
          <w:rFonts w:ascii="Calibri" w:hAnsi="Calibri" w:cs="Calibri"/>
        </w:rPr>
        <w:t xml:space="preserve"> D</w:t>
      </w:r>
      <w:r>
        <w:rPr>
          <w:rFonts w:ascii="Calibri" w:hAnsi="Calibri" w:cs="Calibri"/>
        </w:rPr>
        <w:t>eed for the Recreation Ground as an example</w:t>
      </w:r>
      <w:r w:rsidR="007F5251">
        <w:rPr>
          <w:rFonts w:ascii="Calibri" w:hAnsi="Calibri" w:cs="Calibri"/>
        </w:rPr>
        <w:t xml:space="preserve"> of the NPFA agreements</w:t>
      </w:r>
      <w:r>
        <w:rPr>
          <w:rFonts w:ascii="Calibri" w:hAnsi="Calibri" w:cs="Calibri"/>
        </w:rPr>
        <w:t xml:space="preserve">, a range of obligations were placed on Lytchett Matravers Parish Council and the Lytchett Matravers Sports Club. These included limitations on the use of the land, </w:t>
      </w:r>
      <w:r w:rsidR="007A301C">
        <w:rPr>
          <w:rFonts w:ascii="Calibri" w:hAnsi="Calibri" w:cs="Calibri"/>
        </w:rPr>
        <w:t xml:space="preserve">limitations on </w:t>
      </w:r>
      <w:r>
        <w:rPr>
          <w:rFonts w:ascii="Calibri" w:hAnsi="Calibri" w:cs="Calibri"/>
        </w:rPr>
        <w:t>s</w:t>
      </w:r>
      <w:r w:rsidR="007A301C">
        <w:rPr>
          <w:rFonts w:ascii="Calibri" w:hAnsi="Calibri" w:cs="Calibri"/>
        </w:rPr>
        <w:t>ale of</w:t>
      </w:r>
      <w:r>
        <w:rPr>
          <w:rFonts w:ascii="Calibri" w:hAnsi="Calibri" w:cs="Calibri"/>
        </w:rPr>
        <w:t xml:space="preserve"> the land, limitations on building on the land, an obligation to </w:t>
      </w:r>
      <w:r w:rsidR="007A301C">
        <w:rPr>
          <w:rFonts w:ascii="Calibri" w:hAnsi="Calibri" w:cs="Calibri"/>
        </w:rPr>
        <w:t>maintain the land, an obligation to erect</w:t>
      </w:r>
      <w:r>
        <w:rPr>
          <w:rFonts w:ascii="Calibri" w:hAnsi="Calibri" w:cs="Calibri"/>
        </w:rPr>
        <w:t xml:space="preserve"> notices explaining t</w:t>
      </w:r>
      <w:r w:rsidR="007A301C">
        <w:rPr>
          <w:rFonts w:ascii="Calibri" w:hAnsi="Calibri" w:cs="Calibri"/>
        </w:rPr>
        <w:t xml:space="preserve">he background to Field in Trust, </w:t>
      </w:r>
      <w:r>
        <w:rPr>
          <w:rFonts w:ascii="Calibri" w:hAnsi="Calibri" w:cs="Calibri"/>
        </w:rPr>
        <w:t xml:space="preserve">and a requirement to register the </w:t>
      </w:r>
      <w:r w:rsidR="007A301C">
        <w:rPr>
          <w:rFonts w:ascii="Calibri" w:hAnsi="Calibri" w:cs="Calibri"/>
        </w:rPr>
        <w:t xml:space="preserve">restrictions on the land </w:t>
      </w:r>
      <w:r>
        <w:rPr>
          <w:rFonts w:ascii="Calibri" w:hAnsi="Calibri" w:cs="Calibri"/>
        </w:rPr>
        <w:t>with the Land Registry</w:t>
      </w:r>
      <w:r w:rsidR="007A301C">
        <w:rPr>
          <w:rFonts w:ascii="Calibri" w:hAnsi="Calibri" w:cs="Calibri"/>
        </w:rPr>
        <w:t xml:space="preserve">. In return the NPFA agreed to not unreasonably withhold consent to any proposal to sell the land or build on it, subject to the conditions set out in the Deed. </w:t>
      </w:r>
    </w:p>
    <w:p w:rsidR="007A301C" w:rsidRDefault="007A301C" w:rsidP="007A301C">
      <w:pPr>
        <w:spacing w:after="0"/>
      </w:pPr>
      <w:r>
        <w:t xml:space="preserve">Putting a further Deed of Dedication in place to provide protection against development of the Foxhills Open Space, would represent a continuation of the policy previously adopted by the Parish Council. This in itself is not sufficient to justify this option without due consideration being given to the issues. </w:t>
      </w:r>
    </w:p>
    <w:p w:rsidR="00742DAF" w:rsidRDefault="007A301C" w:rsidP="007A301C">
      <w:pPr>
        <w:spacing w:after="0"/>
      </w:pPr>
      <w:r>
        <w:t>Further considerations to be taken into account in relation to the NPFA are</w:t>
      </w:r>
      <w:r w:rsidR="008E5B90">
        <w:t xml:space="preserve"> set out in section 3</w:t>
      </w:r>
      <w:r>
        <w:t xml:space="preserve">. </w:t>
      </w:r>
    </w:p>
    <w:p w:rsidR="00876E60" w:rsidRPr="00742DAF" w:rsidRDefault="00FD506A" w:rsidP="00742DAF">
      <w:pPr>
        <w:pStyle w:val="Heading2"/>
        <w:rPr>
          <w:color w:val="auto"/>
        </w:rPr>
      </w:pPr>
      <w:r>
        <w:rPr>
          <w:color w:val="auto"/>
        </w:rPr>
        <w:lastRenderedPageBreak/>
        <w:t xml:space="preserve">Local </w:t>
      </w:r>
      <w:r w:rsidR="00876E60" w:rsidRPr="00742DAF">
        <w:rPr>
          <w:color w:val="auto"/>
        </w:rPr>
        <w:t>Green Space</w:t>
      </w:r>
    </w:p>
    <w:p w:rsidR="00876E60" w:rsidRPr="00B72C6A" w:rsidRDefault="00FD506A" w:rsidP="00876E60">
      <w:pPr>
        <w:spacing w:after="0" w:line="240" w:lineRule="auto"/>
        <w:rPr>
          <w:rFonts w:ascii="Calibri" w:eastAsia="Times New Roman" w:hAnsi="Calibri" w:cs="Calibri"/>
          <w:color w:val="44546A"/>
        </w:rPr>
      </w:pPr>
      <w:r>
        <w:rPr>
          <w:rFonts w:ascii="Calibri" w:eastAsia="Times New Roman" w:hAnsi="Calibri" w:cs="Calibri"/>
          <w:color w:val="44546A"/>
        </w:rPr>
        <w:t xml:space="preserve">The National Planning Policy Framework </w:t>
      </w:r>
      <w:r w:rsidR="007F5251">
        <w:rPr>
          <w:rFonts w:ascii="Calibri" w:eastAsia="Times New Roman" w:hAnsi="Calibri" w:cs="Calibri"/>
          <w:color w:val="44546A"/>
        </w:rPr>
        <w:t xml:space="preserve">(NPPF) </w:t>
      </w:r>
      <w:r>
        <w:rPr>
          <w:rFonts w:ascii="Calibri" w:eastAsia="Times New Roman" w:hAnsi="Calibri" w:cs="Calibri"/>
          <w:color w:val="44546A"/>
        </w:rPr>
        <w:t>includes provisions for the protection of Open Space. This includes arrangements set out in</w:t>
      </w:r>
      <w:r w:rsidR="00742DAF" w:rsidRPr="00B72C6A">
        <w:rPr>
          <w:rFonts w:ascii="Calibri" w:eastAsia="Times New Roman" w:hAnsi="Calibri" w:cs="Calibri"/>
          <w:color w:val="44546A"/>
        </w:rPr>
        <w:t xml:space="preserve"> </w:t>
      </w:r>
      <w:r w:rsidR="00876E60" w:rsidRPr="00B72C6A">
        <w:rPr>
          <w:rFonts w:ascii="Calibri" w:eastAsia="Times New Roman" w:hAnsi="Calibri" w:cs="Calibri"/>
          <w:color w:val="44546A"/>
        </w:rPr>
        <w:t xml:space="preserve">paragraphs 76 to 78 of the NPPF, </w:t>
      </w:r>
      <w:r>
        <w:rPr>
          <w:rFonts w:ascii="Calibri" w:eastAsia="Times New Roman" w:hAnsi="Calibri" w:cs="Calibri"/>
          <w:color w:val="44546A"/>
        </w:rPr>
        <w:t xml:space="preserve">under </w:t>
      </w:r>
      <w:r w:rsidR="007F5251">
        <w:rPr>
          <w:rFonts w:ascii="Calibri" w:eastAsia="Times New Roman" w:hAnsi="Calibri" w:cs="Calibri"/>
          <w:color w:val="44546A"/>
        </w:rPr>
        <w:t xml:space="preserve">which </w:t>
      </w:r>
      <w:r w:rsidR="00742DAF" w:rsidRPr="00B72C6A">
        <w:rPr>
          <w:rFonts w:ascii="Calibri" w:eastAsia="Times New Roman" w:hAnsi="Calibri" w:cs="Calibri"/>
          <w:color w:val="44546A"/>
        </w:rPr>
        <w:t>an area of land can be designated as a</w:t>
      </w:r>
      <w:r>
        <w:rPr>
          <w:rFonts w:ascii="Calibri" w:eastAsia="Times New Roman" w:hAnsi="Calibri" w:cs="Calibri"/>
          <w:color w:val="44546A"/>
        </w:rPr>
        <w:t xml:space="preserve"> Local</w:t>
      </w:r>
      <w:r w:rsidR="00742DAF" w:rsidRPr="00B72C6A">
        <w:rPr>
          <w:rFonts w:ascii="Calibri" w:eastAsia="Times New Roman" w:hAnsi="Calibri" w:cs="Calibri"/>
          <w:color w:val="44546A"/>
        </w:rPr>
        <w:t xml:space="preserve"> Green Space. The relevant clauses are as follows</w:t>
      </w:r>
      <w:r w:rsidR="00876E60" w:rsidRPr="00B72C6A">
        <w:rPr>
          <w:rFonts w:ascii="Calibri" w:eastAsia="Times New Roman" w:hAnsi="Calibri" w:cs="Calibri"/>
          <w:color w:val="44546A"/>
        </w:rPr>
        <w:t>:</w:t>
      </w:r>
    </w:p>
    <w:p w:rsidR="00876E60" w:rsidRPr="00876E60" w:rsidRDefault="00876E60" w:rsidP="00876E60">
      <w:pPr>
        <w:spacing w:after="0" w:line="240" w:lineRule="auto"/>
        <w:rPr>
          <w:rFonts w:ascii="Arial" w:eastAsia="Times New Roman" w:hAnsi="Arial" w:cs="Arial"/>
          <w:color w:val="44546A"/>
          <w:sz w:val="24"/>
          <w:szCs w:val="24"/>
        </w:rPr>
      </w:pPr>
    </w:p>
    <w:p w:rsidR="00876E60" w:rsidRPr="00B72C6A" w:rsidRDefault="00876E60" w:rsidP="00742DAF">
      <w:pPr>
        <w:spacing w:after="0" w:line="240" w:lineRule="auto"/>
        <w:ind w:left="1170" w:hanging="450"/>
        <w:rPr>
          <w:rFonts w:ascii="Arial" w:eastAsia="Times New Roman" w:hAnsi="Arial" w:cs="Arial"/>
          <w:i/>
          <w:iCs/>
          <w:color w:val="44546A"/>
        </w:rPr>
      </w:pPr>
      <w:r w:rsidRPr="00876E60">
        <w:rPr>
          <w:rFonts w:ascii="Arial" w:eastAsia="Times New Roman" w:hAnsi="Arial" w:cs="Arial"/>
          <w:i/>
          <w:iCs/>
          <w:color w:val="44546A"/>
          <w:sz w:val="24"/>
          <w:szCs w:val="24"/>
        </w:rPr>
        <w:t>76</w:t>
      </w:r>
      <w:r w:rsidRPr="00B72C6A">
        <w:rPr>
          <w:rFonts w:ascii="Arial" w:eastAsia="Times New Roman" w:hAnsi="Arial" w:cs="Arial"/>
          <w:i/>
          <w:iCs/>
          <w:color w:val="44546A"/>
        </w:rPr>
        <w:t>. Local communities through local and neighbourhood plans should be able to identify for special protection green areas of particular importance to them.</w:t>
      </w:r>
    </w:p>
    <w:p w:rsidR="00876E60" w:rsidRPr="00B72C6A" w:rsidRDefault="00876E60" w:rsidP="00742DAF">
      <w:pPr>
        <w:spacing w:after="0" w:line="240" w:lineRule="auto"/>
        <w:ind w:left="1170"/>
        <w:rPr>
          <w:rFonts w:ascii="Arial" w:eastAsia="Times New Roman" w:hAnsi="Arial" w:cs="Arial"/>
          <w:i/>
          <w:iCs/>
          <w:color w:val="44546A"/>
        </w:rPr>
      </w:pPr>
      <w:r w:rsidRPr="00B72C6A">
        <w:rPr>
          <w:rFonts w:ascii="Arial" w:eastAsia="Times New Roman" w:hAnsi="Arial" w:cs="Arial"/>
          <w:i/>
          <w:iCs/>
          <w:color w:val="44546A"/>
        </w:rPr>
        <w:t>By designating land as Local Green Space local communities will be able to rule out new development other than in very special circumstances.</w:t>
      </w:r>
    </w:p>
    <w:p w:rsidR="00876E60" w:rsidRPr="00B72C6A" w:rsidRDefault="00876E60" w:rsidP="00742DAF">
      <w:pPr>
        <w:spacing w:after="0" w:line="240" w:lineRule="auto"/>
        <w:ind w:left="1170"/>
        <w:rPr>
          <w:rFonts w:ascii="Arial" w:eastAsia="Times New Roman" w:hAnsi="Arial" w:cs="Arial"/>
          <w:i/>
          <w:iCs/>
          <w:color w:val="44546A"/>
        </w:rPr>
      </w:pPr>
      <w:r w:rsidRPr="00B72C6A">
        <w:rPr>
          <w:rFonts w:ascii="Arial" w:eastAsia="Times New Roman" w:hAnsi="Arial" w:cs="Arial"/>
          <w:i/>
          <w:iCs/>
          <w:color w:val="44546A"/>
        </w:rPr>
        <w:t>Identifying land as Local Green Space should therefore be consistent with the local planning of sustainable development and complement investment in sufficient homes, jobs and other essential services. Local Green Spaces should only be designated when a plan is prepared or reviewed, and be capable of enduring beyond the end of the plan period.</w:t>
      </w:r>
    </w:p>
    <w:p w:rsidR="00876E60" w:rsidRPr="00B72C6A" w:rsidRDefault="00876E60" w:rsidP="00742DAF">
      <w:pPr>
        <w:spacing w:after="0" w:line="240" w:lineRule="auto"/>
        <w:ind w:left="720"/>
        <w:rPr>
          <w:rFonts w:ascii="Arial" w:eastAsia="Times New Roman" w:hAnsi="Arial" w:cs="Arial"/>
          <w:i/>
          <w:iCs/>
          <w:color w:val="44546A"/>
        </w:rPr>
      </w:pPr>
    </w:p>
    <w:p w:rsidR="00876E60" w:rsidRPr="00B72C6A" w:rsidRDefault="00876E60" w:rsidP="00742DAF">
      <w:pPr>
        <w:spacing w:after="0" w:line="240" w:lineRule="auto"/>
        <w:ind w:left="1170" w:hanging="450"/>
        <w:rPr>
          <w:rFonts w:ascii="Arial" w:eastAsia="Times New Roman" w:hAnsi="Arial" w:cs="Arial"/>
          <w:i/>
          <w:iCs/>
          <w:color w:val="44546A"/>
        </w:rPr>
      </w:pPr>
      <w:r w:rsidRPr="00B72C6A">
        <w:rPr>
          <w:rFonts w:ascii="Arial" w:eastAsia="Times New Roman" w:hAnsi="Arial" w:cs="Arial"/>
          <w:i/>
          <w:iCs/>
          <w:color w:val="44546A"/>
        </w:rPr>
        <w:t>77. The Local Green Space designation will not be appropriate for most green areas or open space. The designation should only be used:</w:t>
      </w:r>
    </w:p>
    <w:p w:rsidR="00876E60" w:rsidRPr="00B72C6A" w:rsidRDefault="00876E60" w:rsidP="00742DAF">
      <w:pPr>
        <w:spacing w:after="0" w:line="240" w:lineRule="auto"/>
        <w:ind w:left="1620" w:hanging="180"/>
        <w:rPr>
          <w:rFonts w:ascii="Arial" w:eastAsia="Times New Roman" w:hAnsi="Arial" w:cs="Arial"/>
          <w:i/>
          <w:iCs/>
          <w:color w:val="44546A"/>
        </w:rPr>
      </w:pPr>
      <w:r w:rsidRPr="00B72C6A">
        <w:rPr>
          <w:rFonts w:ascii="Arial" w:eastAsia="Times New Roman" w:hAnsi="Arial" w:cs="Arial"/>
          <w:i/>
          <w:iCs/>
          <w:color w:val="44546A"/>
        </w:rPr>
        <w:t xml:space="preserve">● </w:t>
      </w:r>
      <w:proofErr w:type="gramStart"/>
      <w:r w:rsidRPr="00B72C6A">
        <w:rPr>
          <w:rFonts w:ascii="Arial" w:eastAsia="Times New Roman" w:hAnsi="Arial" w:cs="Arial"/>
          <w:i/>
          <w:iCs/>
          <w:color w:val="44546A"/>
        </w:rPr>
        <w:t>where</w:t>
      </w:r>
      <w:proofErr w:type="gramEnd"/>
      <w:r w:rsidRPr="00B72C6A">
        <w:rPr>
          <w:rFonts w:ascii="Arial" w:eastAsia="Times New Roman" w:hAnsi="Arial" w:cs="Arial"/>
          <w:i/>
          <w:iCs/>
          <w:color w:val="44546A"/>
        </w:rPr>
        <w:t xml:space="preserve"> the green space is in reasonably close proximity to the community it serves;</w:t>
      </w:r>
    </w:p>
    <w:p w:rsidR="00876E60" w:rsidRPr="00B72C6A" w:rsidRDefault="00876E60" w:rsidP="00742DAF">
      <w:pPr>
        <w:spacing w:after="0" w:line="240" w:lineRule="auto"/>
        <w:ind w:left="1620" w:hanging="180"/>
        <w:rPr>
          <w:rFonts w:ascii="Arial" w:eastAsia="Times New Roman" w:hAnsi="Arial" w:cs="Arial"/>
          <w:i/>
          <w:iCs/>
          <w:color w:val="44546A"/>
        </w:rPr>
      </w:pPr>
      <w:r w:rsidRPr="00B72C6A">
        <w:rPr>
          <w:rFonts w:ascii="Arial" w:eastAsia="Times New Roman" w:hAnsi="Arial" w:cs="Arial"/>
          <w:i/>
          <w:iCs/>
          <w:color w:val="44546A"/>
        </w:rPr>
        <w:t>● where the green area is demonstrably special to a local community and holds a particular local significance, for example because of its beauty, historic significance, recreational value (including as a playing field), tranquillity or richness of its wildlife; and</w:t>
      </w:r>
    </w:p>
    <w:p w:rsidR="00876E60" w:rsidRPr="00B72C6A" w:rsidRDefault="00876E60" w:rsidP="00742DAF">
      <w:pPr>
        <w:spacing w:after="0" w:line="240" w:lineRule="auto"/>
        <w:ind w:left="1620" w:hanging="180"/>
        <w:rPr>
          <w:rFonts w:ascii="Arial" w:eastAsia="Times New Roman" w:hAnsi="Arial" w:cs="Arial"/>
          <w:i/>
          <w:iCs/>
          <w:color w:val="44546A"/>
        </w:rPr>
      </w:pPr>
      <w:r w:rsidRPr="00B72C6A">
        <w:rPr>
          <w:rFonts w:ascii="Arial" w:eastAsia="Times New Roman" w:hAnsi="Arial" w:cs="Arial"/>
          <w:i/>
          <w:iCs/>
          <w:color w:val="44546A"/>
        </w:rPr>
        <w:t xml:space="preserve">● </w:t>
      </w:r>
      <w:proofErr w:type="gramStart"/>
      <w:r w:rsidRPr="00B72C6A">
        <w:rPr>
          <w:rFonts w:ascii="Arial" w:eastAsia="Times New Roman" w:hAnsi="Arial" w:cs="Arial"/>
          <w:i/>
          <w:iCs/>
          <w:color w:val="44546A"/>
        </w:rPr>
        <w:t>where</w:t>
      </w:r>
      <w:proofErr w:type="gramEnd"/>
      <w:r w:rsidRPr="00B72C6A">
        <w:rPr>
          <w:rFonts w:ascii="Arial" w:eastAsia="Times New Roman" w:hAnsi="Arial" w:cs="Arial"/>
          <w:i/>
          <w:iCs/>
          <w:color w:val="44546A"/>
        </w:rPr>
        <w:t xml:space="preserve"> the green area concerned is local in character and is not an extensive tract of land.</w:t>
      </w:r>
    </w:p>
    <w:p w:rsidR="00876E60" w:rsidRPr="00B72C6A" w:rsidRDefault="00876E60" w:rsidP="00742DAF">
      <w:pPr>
        <w:spacing w:after="0" w:line="240" w:lineRule="auto"/>
        <w:ind w:left="720"/>
        <w:rPr>
          <w:rFonts w:ascii="Arial" w:eastAsia="Times New Roman" w:hAnsi="Arial" w:cs="Arial"/>
          <w:i/>
          <w:iCs/>
          <w:color w:val="44546A"/>
        </w:rPr>
      </w:pPr>
    </w:p>
    <w:p w:rsidR="00876E60" w:rsidRPr="00B72C6A" w:rsidRDefault="00876E60" w:rsidP="00742DAF">
      <w:pPr>
        <w:spacing w:after="0" w:line="240" w:lineRule="auto"/>
        <w:ind w:left="1170" w:hanging="450"/>
        <w:rPr>
          <w:rFonts w:ascii="Arial" w:eastAsia="Times New Roman" w:hAnsi="Arial" w:cs="Arial"/>
          <w:i/>
          <w:iCs/>
          <w:color w:val="44546A"/>
        </w:rPr>
      </w:pPr>
      <w:r w:rsidRPr="00B72C6A">
        <w:rPr>
          <w:rFonts w:ascii="Arial" w:eastAsia="Times New Roman" w:hAnsi="Arial" w:cs="Arial"/>
          <w:i/>
          <w:iCs/>
          <w:color w:val="44546A"/>
        </w:rPr>
        <w:t>78. Local policy for managing development within a Local Green Space should be consistent with policy for Green Belts.</w:t>
      </w:r>
    </w:p>
    <w:p w:rsidR="00876E60" w:rsidRPr="00876E60" w:rsidRDefault="00876E60" w:rsidP="00876E60">
      <w:pPr>
        <w:spacing w:after="0" w:line="240" w:lineRule="auto"/>
        <w:rPr>
          <w:rFonts w:ascii="Arial" w:eastAsia="Times New Roman" w:hAnsi="Arial" w:cs="Arial"/>
          <w:color w:val="44546A"/>
          <w:sz w:val="24"/>
          <w:szCs w:val="24"/>
        </w:rPr>
      </w:pPr>
    </w:p>
    <w:p w:rsidR="00876E60" w:rsidRPr="00B72C6A" w:rsidRDefault="00B72C6A" w:rsidP="00876E60">
      <w:pPr>
        <w:spacing w:after="0" w:line="240" w:lineRule="auto"/>
        <w:rPr>
          <w:rFonts w:ascii="Calibri" w:eastAsia="Times New Roman" w:hAnsi="Calibri" w:cs="Calibri"/>
          <w:color w:val="44546A"/>
        </w:rPr>
      </w:pPr>
      <w:r w:rsidRPr="00B72C6A">
        <w:rPr>
          <w:rFonts w:ascii="Calibri" w:eastAsia="Times New Roman" w:hAnsi="Calibri" w:cs="Calibri"/>
          <w:color w:val="44546A"/>
        </w:rPr>
        <w:t xml:space="preserve">To pursue this option, the Parish Council would need to provide a list of </w:t>
      </w:r>
      <w:r w:rsidR="00876E60" w:rsidRPr="00B72C6A">
        <w:rPr>
          <w:rFonts w:ascii="Calibri" w:eastAsia="Times New Roman" w:hAnsi="Calibri" w:cs="Calibri"/>
          <w:color w:val="44546A"/>
        </w:rPr>
        <w:t xml:space="preserve">the open spaces which </w:t>
      </w:r>
      <w:r w:rsidRPr="00B72C6A">
        <w:rPr>
          <w:rFonts w:ascii="Calibri" w:eastAsia="Times New Roman" w:hAnsi="Calibri" w:cs="Calibri"/>
          <w:color w:val="44546A"/>
        </w:rPr>
        <w:t>we wanted to</w:t>
      </w:r>
      <w:r w:rsidR="00876E60" w:rsidRPr="00B72C6A">
        <w:rPr>
          <w:rFonts w:ascii="Calibri" w:eastAsia="Times New Roman" w:hAnsi="Calibri" w:cs="Calibri"/>
          <w:color w:val="44546A"/>
        </w:rPr>
        <w:t xml:space="preserve"> </w:t>
      </w:r>
      <w:r w:rsidRPr="00B72C6A">
        <w:rPr>
          <w:rFonts w:ascii="Calibri" w:eastAsia="Times New Roman" w:hAnsi="Calibri" w:cs="Calibri"/>
          <w:color w:val="44546A"/>
        </w:rPr>
        <w:t>be</w:t>
      </w:r>
      <w:r w:rsidR="00876E60" w:rsidRPr="00B72C6A">
        <w:rPr>
          <w:rFonts w:ascii="Calibri" w:eastAsia="Times New Roman" w:hAnsi="Calibri" w:cs="Calibri"/>
          <w:color w:val="44546A"/>
        </w:rPr>
        <w:t xml:space="preserve"> protected</w:t>
      </w:r>
      <w:r w:rsidRPr="00B72C6A">
        <w:rPr>
          <w:rFonts w:ascii="Calibri" w:eastAsia="Times New Roman" w:hAnsi="Calibri" w:cs="Calibri"/>
          <w:color w:val="44546A"/>
        </w:rPr>
        <w:t xml:space="preserve"> to Purbeck District Council. The Council </w:t>
      </w:r>
      <w:r w:rsidR="00876E60" w:rsidRPr="00B72C6A">
        <w:rPr>
          <w:rFonts w:ascii="Calibri" w:eastAsia="Times New Roman" w:hAnsi="Calibri" w:cs="Calibri"/>
          <w:color w:val="44546A"/>
        </w:rPr>
        <w:t xml:space="preserve">officers </w:t>
      </w:r>
      <w:r w:rsidRPr="00B72C6A">
        <w:rPr>
          <w:rFonts w:ascii="Calibri" w:eastAsia="Times New Roman" w:hAnsi="Calibri" w:cs="Calibri"/>
          <w:color w:val="44546A"/>
        </w:rPr>
        <w:t>would then consider</w:t>
      </w:r>
      <w:r w:rsidR="00876E60" w:rsidRPr="00B72C6A">
        <w:rPr>
          <w:rFonts w:ascii="Calibri" w:eastAsia="Times New Roman" w:hAnsi="Calibri" w:cs="Calibri"/>
          <w:color w:val="44546A"/>
        </w:rPr>
        <w:t xml:space="preserve"> whether or not the Local Green Space designation or another policy mechanism could be applied to protect these spaces.</w:t>
      </w:r>
      <w:r>
        <w:rPr>
          <w:rFonts w:ascii="Calibri" w:eastAsia="Times New Roman" w:hAnsi="Calibri" w:cs="Calibri"/>
          <w:color w:val="44546A"/>
        </w:rPr>
        <w:t xml:space="preserve"> Protection of the open spaces could then be achieved by including them in the Purbeck District Local Plan, or in a revision of the Lytchett Matravers Neighbourhood Plan.</w:t>
      </w:r>
    </w:p>
    <w:p w:rsidR="00B72C6A" w:rsidRPr="00742DAF" w:rsidRDefault="00B72C6A" w:rsidP="00B72C6A">
      <w:pPr>
        <w:pStyle w:val="Heading2"/>
        <w:rPr>
          <w:color w:val="auto"/>
        </w:rPr>
      </w:pPr>
      <w:r>
        <w:rPr>
          <w:color w:val="auto"/>
        </w:rPr>
        <w:t>Gifting the Land to a Charity such as the Woodland Trust</w:t>
      </w:r>
    </w:p>
    <w:p w:rsidR="00B72C6A" w:rsidRDefault="00B72C6A" w:rsidP="005C4B65">
      <w:pPr>
        <w:spacing w:after="0"/>
        <w:rPr>
          <w:rFonts w:ascii="Calibri" w:hAnsi="Calibri" w:cs="Calibri"/>
        </w:rPr>
      </w:pPr>
      <w:r>
        <w:rPr>
          <w:rFonts w:ascii="Calibri" w:hAnsi="Calibri" w:cs="Calibri"/>
        </w:rPr>
        <w:t>If a suitable charity can be identified, whose main objective is to protect green and/or open space, then it would be expected that the charity concerned would take over the obligation to maintain the land, achieving a cost saving for the Lytchett Matravers Parish Council.</w:t>
      </w:r>
    </w:p>
    <w:p w:rsidR="00B72C6A" w:rsidRDefault="00B72C6A" w:rsidP="005C4B65">
      <w:pPr>
        <w:spacing w:after="0"/>
        <w:rPr>
          <w:rFonts w:ascii="Calibri" w:hAnsi="Calibri" w:cs="Calibri"/>
        </w:rPr>
      </w:pPr>
      <w:r>
        <w:rPr>
          <w:rFonts w:ascii="Calibri" w:hAnsi="Calibri" w:cs="Calibri"/>
        </w:rPr>
        <w:t xml:space="preserve">As a first step towards exploring this option, the Woodland Trust have been contacted, since the nature of the Foxhills Open Space might align with their </w:t>
      </w:r>
      <w:r w:rsidR="005C4B65">
        <w:rPr>
          <w:rFonts w:ascii="Calibri" w:hAnsi="Calibri" w:cs="Calibri"/>
        </w:rPr>
        <w:t>objectives. The response received was as follows:</w:t>
      </w:r>
    </w:p>
    <w:p w:rsidR="005C4B65" w:rsidRPr="005C4B65" w:rsidRDefault="005C4B65" w:rsidP="005C4B65">
      <w:pPr>
        <w:spacing w:before="120" w:after="0"/>
        <w:ind w:left="720"/>
        <w:rPr>
          <w:rFonts w:ascii="Arial" w:eastAsia="Times New Roman" w:hAnsi="Arial" w:cs="Arial"/>
          <w:i/>
          <w:color w:val="000000"/>
          <w:lang w:eastAsia="en-GB"/>
        </w:rPr>
      </w:pPr>
      <w:r w:rsidRPr="005C4B65">
        <w:rPr>
          <w:rFonts w:ascii="Calibri" w:hAnsi="Calibri" w:cs="Calibri"/>
          <w:i/>
        </w:rPr>
        <w:t xml:space="preserve">“Assuming that </w:t>
      </w:r>
      <w:r w:rsidRPr="005C4B65">
        <w:rPr>
          <w:rFonts w:ascii="Arial" w:eastAsia="Times New Roman" w:hAnsi="Arial" w:cs="Arial"/>
          <w:i/>
          <w:color w:val="000000"/>
          <w:lang w:eastAsia="en-GB"/>
        </w:rPr>
        <w:t xml:space="preserve">this is a small area (under 5 </w:t>
      </w:r>
      <w:proofErr w:type="gramStart"/>
      <w:r w:rsidRPr="005C4B65">
        <w:rPr>
          <w:rFonts w:ascii="Arial" w:eastAsia="Times New Roman" w:hAnsi="Arial" w:cs="Arial"/>
          <w:i/>
          <w:color w:val="000000"/>
          <w:lang w:eastAsia="en-GB"/>
        </w:rPr>
        <w:t>acres ?)</w:t>
      </w:r>
      <w:proofErr w:type="gramEnd"/>
      <w:r w:rsidRPr="005C4B65">
        <w:rPr>
          <w:rFonts w:ascii="Arial" w:eastAsia="Times New Roman" w:hAnsi="Arial" w:cs="Arial"/>
          <w:i/>
          <w:color w:val="000000"/>
          <w:lang w:eastAsia="en-GB"/>
        </w:rPr>
        <w:t xml:space="preserve"> </w:t>
      </w:r>
      <w:proofErr w:type="gramStart"/>
      <w:r w:rsidRPr="005C4B65">
        <w:rPr>
          <w:rFonts w:ascii="Arial" w:eastAsia="Times New Roman" w:hAnsi="Arial" w:cs="Arial"/>
          <w:i/>
          <w:color w:val="000000"/>
          <w:lang w:eastAsia="en-GB"/>
        </w:rPr>
        <w:t>of</w:t>
      </w:r>
      <w:proofErr w:type="gramEnd"/>
      <w:r w:rsidRPr="005C4B65">
        <w:rPr>
          <w:rFonts w:ascii="Arial" w:eastAsia="Times New Roman" w:hAnsi="Arial" w:cs="Arial"/>
          <w:i/>
          <w:color w:val="000000"/>
          <w:lang w:eastAsia="en-GB"/>
        </w:rPr>
        <w:t xml:space="preserve"> green space that is not yet planted up as a wood, I fear that it is very unlikely that your kind offer will fit with the Woodland Trust’s current acquisition criteria. This is very much targeted at significant areas of ancient woodland under demonstrable threat or substantial woodland creation opportunities or possibly extensions to existing Woodland Trust sites. If local community ownership and management might be a possibility, we can support this through our Community Woodland Network web site - </w:t>
      </w:r>
      <w:hyperlink r:id="rId5" w:history="1">
        <w:r w:rsidRPr="005C4B65">
          <w:rPr>
            <w:rFonts w:ascii="Arial" w:eastAsia="Times New Roman" w:hAnsi="Arial" w:cs="Arial"/>
            <w:i/>
            <w:color w:val="0000FF"/>
            <w:u w:val="single"/>
            <w:lang w:eastAsia="en-GB"/>
          </w:rPr>
          <w:t>https://www.woodlandtrust.org.uk/get-involved/communities/community-woodland/</w:t>
        </w:r>
      </w:hyperlink>
      <w:r w:rsidRPr="005C4B65">
        <w:rPr>
          <w:rFonts w:ascii="Arial" w:eastAsia="Times New Roman" w:hAnsi="Arial" w:cs="Arial"/>
          <w:i/>
          <w:color w:val="000000"/>
          <w:lang w:eastAsia="en-GB"/>
        </w:rPr>
        <w:t xml:space="preserve"> .</w:t>
      </w:r>
    </w:p>
    <w:p w:rsidR="005C4B65" w:rsidRPr="005C4B65" w:rsidRDefault="005C4B65" w:rsidP="005C4B65">
      <w:pPr>
        <w:spacing w:before="120" w:after="0" w:line="240" w:lineRule="auto"/>
        <w:ind w:left="720"/>
        <w:rPr>
          <w:rFonts w:ascii="Arial" w:eastAsia="Times New Roman" w:hAnsi="Arial" w:cs="Arial"/>
          <w:i/>
          <w:color w:val="000000"/>
          <w:lang w:eastAsia="en-GB"/>
        </w:rPr>
      </w:pPr>
      <w:r w:rsidRPr="005C4B65">
        <w:rPr>
          <w:rFonts w:ascii="Arial" w:eastAsia="Times New Roman" w:hAnsi="Arial" w:cs="Arial"/>
          <w:i/>
          <w:color w:val="000000"/>
          <w:lang w:eastAsia="en-GB"/>
        </w:rPr>
        <w:lastRenderedPageBreak/>
        <w:t>If, in light of the above, you feel that the area might still be of interest, perhaps you could supply a site plan so we can consider the matter further.”</w:t>
      </w:r>
    </w:p>
    <w:p w:rsidR="005C4B65" w:rsidRDefault="005C4B65" w:rsidP="005C4B65">
      <w:pPr>
        <w:spacing w:after="0"/>
        <w:rPr>
          <w:rFonts w:ascii="Calibri" w:hAnsi="Calibri" w:cs="Calibri"/>
        </w:rPr>
      </w:pPr>
    </w:p>
    <w:p w:rsidR="005C4B65" w:rsidRDefault="005C4B65" w:rsidP="005C4B65">
      <w:pPr>
        <w:spacing w:after="0"/>
        <w:rPr>
          <w:rFonts w:ascii="Calibri" w:hAnsi="Calibri" w:cs="Calibri"/>
        </w:rPr>
      </w:pPr>
      <w:r>
        <w:rPr>
          <w:rFonts w:ascii="Calibri" w:hAnsi="Calibri" w:cs="Calibri"/>
        </w:rPr>
        <w:t xml:space="preserve">It therefore looks likely that a transfer of the Foxhills Open Space to the Woodland Trust is not a viable option, based on their current strategy. </w:t>
      </w:r>
    </w:p>
    <w:p w:rsidR="005C4B65" w:rsidRDefault="005C4B65" w:rsidP="005C4B65">
      <w:pPr>
        <w:spacing w:after="0"/>
        <w:rPr>
          <w:rFonts w:ascii="Calibri" w:hAnsi="Calibri" w:cs="Calibri"/>
        </w:rPr>
      </w:pPr>
      <w:r>
        <w:rPr>
          <w:rFonts w:ascii="Calibri" w:hAnsi="Calibri" w:cs="Calibri"/>
        </w:rPr>
        <w:t>A second charity that could be approached would be the Dorset Wildlife Trust, but the space is considered to be poorly aligned with their objectives.</w:t>
      </w:r>
    </w:p>
    <w:p w:rsidR="005C4B65" w:rsidRPr="00B72C6A" w:rsidRDefault="005C4B65" w:rsidP="005C4B65">
      <w:pPr>
        <w:spacing w:after="0"/>
        <w:rPr>
          <w:rFonts w:ascii="Calibri" w:hAnsi="Calibri" w:cs="Calibri"/>
        </w:rPr>
      </w:pPr>
      <w:r>
        <w:rPr>
          <w:rFonts w:ascii="Calibri" w:hAnsi="Calibri" w:cs="Calibri"/>
        </w:rPr>
        <w:t>At this stage no further action is proposed on this option.</w:t>
      </w:r>
    </w:p>
    <w:p w:rsidR="00876E60" w:rsidRPr="00D54546" w:rsidRDefault="007A301C" w:rsidP="00D54546">
      <w:pPr>
        <w:pStyle w:val="Heading1"/>
        <w:spacing w:before="120" w:after="120"/>
        <w:rPr>
          <w:rFonts w:ascii="Calibri" w:hAnsi="Calibri" w:cs="Calibri"/>
          <w:color w:val="auto"/>
        </w:rPr>
      </w:pPr>
      <w:r>
        <w:rPr>
          <w:rFonts w:ascii="Calibri" w:hAnsi="Calibri" w:cs="Calibri"/>
          <w:color w:val="auto"/>
        </w:rPr>
        <w:t>T</w:t>
      </w:r>
      <w:r w:rsidR="00742DAF" w:rsidRPr="00D54546">
        <w:rPr>
          <w:rFonts w:ascii="Calibri" w:hAnsi="Calibri" w:cs="Calibri"/>
          <w:color w:val="auto"/>
        </w:rPr>
        <w:t>he National Playing Fields Association</w:t>
      </w:r>
      <w:r>
        <w:rPr>
          <w:rFonts w:ascii="Calibri" w:hAnsi="Calibri" w:cs="Calibri"/>
          <w:color w:val="auto"/>
        </w:rPr>
        <w:t xml:space="preserve"> – Fields in Trust</w:t>
      </w:r>
    </w:p>
    <w:p w:rsidR="005765E5" w:rsidRPr="005765E5" w:rsidRDefault="005765E5" w:rsidP="005765E5">
      <w:pPr>
        <w:spacing w:after="0"/>
      </w:pPr>
      <w:r w:rsidRPr="005765E5">
        <w:t xml:space="preserve">The National Playing Fields Association (NPFA) was founded </w:t>
      </w:r>
      <w:r>
        <w:t>in</w:t>
      </w:r>
      <w:r w:rsidRPr="005765E5">
        <w:t xml:space="preserve"> 1925</w:t>
      </w:r>
      <w:r>
        <w:t>, and</w:t>
      </w:r>
      <w:r w:rsidRPr="005765E5">
        <w:t xml:space="preserve"> received a royal charter in 1932.</w:t>
      </w:r>
      <w:r>
        <w:t xml:space="preserve"> </w:t>
      </w:r>
      <w:r w:rsidRPr="005765E5">
        <w:t xml:space="preserve">Since 1945 the Association has expanded its work by providing loans as well as grants, by providing technical advice and by holding conferences. In 1965 it absorbed the King George's Fields Foundation, which was founded in 1936 as part of the national memorial to George V. </w:t>
      </w:r>
      <w:r w:rsidR="007F5251">
        <w:t>The NPFA</w:t>
      </w:r>
      <w:r w:rsidRPr="005765E5">
        <w:t xml:space="preserve"> </w:t>
      </w:r>
      <w:r w:rsidR="007F5251">
        <w:t>obtains</w:t>
      </w:r>
      <w:r w:rsidRPr="005765E5">
        <w:t xml:space="preserve"> income from subscriptions, donations and legacies.</w:t>
      </w:r>
    </w:p>
    <w:p w:rsidR="005765E5" w:rsidRPr="005765E5" w:rsidRDefault="005765E5" w:rsidP="005765E5">
      <w:pPr>
        <w:spacing w:after="0"/>
      </w:pPr>
      <w:r w:rsidRPr="005765E5">
        <w:t>The NPFA owns nearly a hundred grounds in the country, but most of the work at local level is carried out by the County Playing Fields Associations which are affiliated to the national body. There are also a few overseas affiliated members.</w:t>
      </w:r>
    </w:p>
    <w:p w:rsidR="0042652C" w:rsidRDefault="00D54546" w:rsidP="005765E5">
      <w:pPr>
        <w:spacing w:after="0"/>
      </w:pPr>
      <w:r>
        <w:t xml:space="preserve">The name “Fields in Trust” </w:t>
      </w:r>
      <w:r w:rsidR="005765E5">
        <w:t>was adopted a</w:t>
      </w:r>
      <w:r>
        <w:t>s an operating name of the NPFA</w:t>
      </w:r>
      <w:r w:rsidR="005765E5">
        <w:t xml:space="preserve"> </w:t>
      </w:r>
      <w:r w:rsidR="0042652C">
        <w:t>in 2007</w:t>
      </w:r>
      <w:r w:rsidR="005765E5">
        <w:t xml:space="preserve">, at which time </w:t>
      </w:r>
      <w:r w:rsidR="0042652C" w:rsidRPr="005765E5">
        <w:t xml:space="preserve">Alison Moore-Gwyn, </w:t>
      </w:r>
      <w:r w:rsidR="005765E5" w:rsidRPr="005765E5">
        <w:t xml:space="preserve">then </w:t>
      </w:r>
      <w:r w:rsidR="0042652C" w:rsidRPr="005765E5">
        <w:t>chief executive, explained th</w:t>
      </w:r>
      <w:r w:rsidR="005765E5" w:rsidRPr="005765E5">
        <w:t xml:space="preserve">at </w:t>
      </w:r>
      <w:r w:rsidR="0042652C" w:rsidRPr="005765E5">
        <w:t>“In its early years, the NPFA was solely involved in protecting community playing fields. But now our work has expanded to protecting and improving other recreation areas like kids playgrounds and leisure areas for older people. FIT more accurately reflects the type of work we are involved in</w:t>
      </w:r>
      <w:r w:rsidR="005765E5" w:rsidRPr="005765E5">
        <w:t>.</w:t>
      </w:r>
      <w:r w:rsidR="0042652C" w:rsidRPr="005765E5">
        <w:t>”</w:t>
      </w:r>
    </w:p>
    <w:p w:rsidR="00DA75F0" w:rsidRDefault="00DA75F0" w:rsidP="005765E5">
      <w:pPr>
        <w:spacing w:after="0"/>
      </w:pPr>
      <w:r>
        <w:t>In considering the strength of the protection provided by the form of Deed put in place by the NPFA</w:t>
      </w:r>
      <w:r w:rsidR="0042652C">
        <w:t xml:space="preserve">, factors such as </w:t>
      </w:r>
      <w:r>
        <w:t>the following need to be taken into account:</w:t>
      </w:r>
    </w:p>
    <w:p w:rsidR="0042652C" w:rsidRDefault="0042652C" w:rsidP="0042652C">
      <w:pPr>
        <w:pStyle w:val="ListParagraph"/>
        <w:numPr>
          <w:ilvl w:val="0"/>
          <w:numId w:val="7"/>
        </w:numPr>
      </w:pPr>
      <w:r>
        <w:t>The strength of the Deed in law</w:t>
      </w:r>
      <w:r w:rsidR="005765E5">
        <w:t xml:space="preserve">, including registration of the existence of the Deed on the Land Registry title for the land – at this stage no real information is available on the strength of the Deed in law. Legal advice would be needed to assess this. However, it is known that </w:t>
      </w:r>
      <w:r w:rsidR="008E5B90">
        <w:t>changes to Land Registry title documents</w:t>
      </w:r>
      <w:r w:rsidR="007F5251">
        <w:t xml:space="preserve"> to remove restrictions</w:t>
      </w:r>
      <w:r w:rsidR="008E5B90">
        <w:t xml:space="preserve"> can be made in certain circumstances. </w:t>
      </w:r>
      <w:r w:rsidR="005765E5">
        <w:t xml:space="preserve"> </w:t>
      </w:r>
    </w:p>
    <w:p w:rsidR="0042652C" w:rsidRDefault="0042652C" w:rsidP="0042652C">
      <w:pPr>
        <w:pStyle w:val="ListParagraph"/>
        <w:numPr>
          <w:ilvl w:val="0"/>
          <w:numId w:val="7"/>
        </w:numPr>
      </w:pPr>
      <w:r>
        <w:t>The continued existence of the counterparty organisation</w:t>
      </w:r>
      <w:r w:rsidR="008E5B90">
        <w:t xml:space="preserve"> – Figure 1 presents information from the NPFA accounts over the last 10 years. This suggests that the organisation</w:t>
      </w:r>
      <w:r w:rsidR="007F5251">
        <w:t>’</w:t>
      </w:r>
      <w:r w:rsidR="008E5B90">
        <w:t xml:space="preserve">s income has been extremely volatile over this period. It has recorded financial deficits in 4 out of the 10 years covered. Employee numbers have varied during this time from 9 to 20, currently standing at 17. </w:t>
      </w:r>
      <w:r w:rsidR="00215EC0">
        <w:t xml:space="preserve">The NPFA has benefited during the period covered by Figure 1 from 2 programmes which included activities to promote its activities. These included the Queen Elizabeth II Fields Challenge and the Centenary Fields programme to commemorate the First World War. Significant sums were received in donations and grants as a result of these programmes.  </w:t>
      </w:r>
    </w:p>
    <w:p w:rsidR="00D54546" w:rsidRDefault="0042652C" w:rsidP="0042652C">
      <w:pPr>
        <w:pStyle w:val="ListParagraph"/>
        <w:numPr>
          <w:ilvl w:val="0"/>
          <w:numId w:val="7"/>
        </w:numPr>
      </w:pPr>
      <w:r>
        <w:t xml:space="preserve">The motivation and ability of the counterparty organisation to enforce the Deed </w:t>
      </w:r>
      <w:r w:rsidR="008E5B90">
        <w:t xml:space="preserve">– Preliminary searches of publicly available information have not identified any instances of action taken by the NPFA in relation to breaches of Deeds it has put in place. Legal advice would be needed to assess this properly. </w:t>
      </w:r>
      <w:r>
        <w:t xml:space="preserve"> </w:t>
      </w:r>
    </w:p>
    <w:p w:rsidR="008E5B90" w:rsidRDefault="008E5B90" w:rsidP="0042652C">
      <w:pPr>
        <w:sectPr w:rsidR="008E5B90">
          <w:pgSz w:w="11906" w:h="16838"/>
          <w:pgMar w:top="1440" w:right="1440" w:bottom="1440" w:left="1440" w:header="708" w:footer="708" w:gutter="0"/>
          <w:cols w:space="708"/>
          <w:docGrid w:linePitch="360"/>
        </w:sectPr>
      </w:pPr>
    </w:p>
    <w:p w:rsidR="0042652C" w:rsidRDefault="0042652C" w:rsidP="0042652C">
      <w:r>
        <w:lastRenderedPageBreak/>
        <w:t>Figure 1 – NPFA Accounts 2007 to 2016</w:t>
      </w:r>
    </w:p>
    <w:p w:rsidR="0042652C" w:rsidRDefault="0042652C" w:rsidP="0042652C">
      <w:r>
        <w:rPr>
          <w:noProof/>
          <w:lang w:eastAsia="en-GB"/>
        </w:rPr>
        <w:drawing>
          <wp:inline distT="0" distB="0" distL="0" distR="0" wp14:anchorId="1395CCCB" wp14:editId="74DE5359">
            <wp:extent cx="5731510" cy="3745076"/>
            <wp:effectExtent l="0" t="0" r="2159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0C58" w:rsidRPr="00840C58" w:rsidRDefault="00840C58" w:rsidP="00840C58">
      <w:pPr>
        <w:pStyle w:val="Heading2"/>
        <w:rPr>
          <w:color w:val="auto"/>
        </w:rPr>
      </w:pPr>
      <w:r w:rsidRPr="00840C58">
        <w:rPr>
          <w:color w:val="auto"/>
        </w:rPr>
        <w:t>The NPFA Deed covering the Lytchett Matravers Recreation Ground</w:t>
      </w:r>
    </w:p>
    <w:p w:rsidR="00B761E7" w:rsidRDefault="00890E58" w:rsidP="00B761E7">
      <w:pPr>
        <w:spacing w:after="0"/>
      </w:pPr>
      <w:r>
        <w:t xml:space="preserve">Development of the </w:t>
      </w:r>
      <w:r w:rsidR="00840C58">
        <w:t>Lytchett Matravers</w:t>
      </w:r>
      <w:r>
        <w:t xml:space="preserve"> village centre, including improvements to existing facilities, and development of new </w:t>
      </w:r>
      <w:r w:rsidR="00B761E7">
        <w:t xml:space="preserve">facilities, was a key aspect of the </w:t>
      </w:r>
      <w:r w:rsidR="00840C58">
        <w:t>Neighbourhood Plan</w:t>
      </w:r>
      <w:r w:rsidR="00B761E7">
        <w:t xml:space="preserve"> adopted by referendum in 2017.</w:t>
      </w:r>
    </w:p>
    <w:p w:rsidR="00D54546" w:rsidRDefault="00B761E7" w:rsidP="00B761E7">
      <w:pPr>
        <w:spacing w:after="0"/>
      </w:pPr>
      <w:r>
        <w:t>Implementation of the Neighbourhood Plan</w:t>
      </w:r>
      <w:r w:rsidR="00840C58">
        <w:t xml:space="preserve"> </w:t>
      </w:r>
      <w:r>
        <w:t>is in its early stages, and detailed plans for the village centre are not yet available. However, one area of potential concern is that the Deed of Dedication entered into with the NPFA in 2013 may impose restrictions on the development that can take place. Recent investigation has shown that the plan showing the area of land covered by the original Deed was incorrect, in that the car park was included. The NPFA have agreed that the Deed can be amended to correct this. At the same time, it is recommended that the opportunity is taken to explore whether the boundary of the area of land covered by the Deed can be moved to ensure that there is sufficient space for any new buildings to be developed on the car park. It is possible that the NPFA may be more willing to consider such changes if a Deed for the Foxhills Open Space is negotiated at the same time.</w:t>
      </w:r>
    </w:p>
    <w:p w:rsidR="007F5251" w:rsidRDefault="007F5251" w:rsidP="00B761E7">
      <w:pPr>
        <w:spacing w:after="0"/>
      </w:pPr>
      <w:r>
        <w:t>It should be noted that the Lytchett Matravers Sports Club is a party to the NPFA Deed, and will therefore need to be involved in making any changes to it.</w:t>
      </w:r>
    </w:p>
    <w:p w:rsidR="00D54546" w:rsidRDefault="00B761E7">
      <w:r>
        <w:t xml:space="preserve">Enquiries have also revealed that restrictions on use of the Recreation Ground </w:t>
      </w:r>
      <w:r w:rsidR="008C26EF">
        <w:t>were</w:t>
      </w:r>
      <w:r>
        <w:t xml:space="preserve"> put in place </w:t>
      </w:r>
      <w:r w:rsidR="008C26EF">
        <w:t xml:space="preserve">in 1964 </w:t>
      </w:r>
      <w:r>
        <w:t xml:space="preserve">when the land was originally transferred to the Parish Council </w:t>
      </w:r>
      <w:r w:rsidR="00450942">
        <w:t>by a member of the Dillon-</w:t>
      </w:r>
      <w:proofErr w:type="spellStart"/>
      <w:r w:rsidR="00450942">
        <w:t>Trenchard</w:t>
      </w:r>
      <w:proofErr w:type="spellEnd"/>
      <w:r w:rsidR="00450942">
        <w:t xml:space="preserve"> family. These restrictions are set out as covenants put in place in 1964 to provide protection to </w:t>
      </w:r>
      <w:r>
        <w:t xml:space="preserve">the </w:t>
      </w:r>
      <w:r w:rsidR="008C26EF">
        <w:t>owner of “The Shooting Box” (who had previously acquired th</w:t>
      </w:r>
      <w:r w:rsidR="00450942">
        <w:t>at property from the Dillon-</w:t>
      </w:r>
      <w:proofErr w:type="spellStart"/>
      <w:r w:rsidR="00450942">
        <w:t>Trenchard</w:t>
      </w:r>
      <w:proofErr w:type="spellEnd"/>
      <w:r w:rsidR="00450942">
        <w:t xml:space="preserve"> family i</w:t>
      </w:r>
      <w:r w:rsidR="007F5251">
        <w:t>n 196</w:t>
      </w:r>
      <w:r w:rsidR="008C26EF">
        <w:t>1)</w:t>
      </w:r>
      <w:r>
        <w:t xml:space="preserve">. </w:t>
      </w:r>
      <w:r w:rsidR="008C26EF">
        <w:t>These</w:t>
      </w:r>
      <w:r>
        <w:t xml:space="preserve"> restrictions </w:t>
      </w:r>
      <w:r w:rsidR="008C26EF">
        <w:t xml:space="preserve">are </w:t>
      </w:r>
      <w:r>
        <w:t>potentially</w:t>
      </w:r>
      <w:r w:rsidR="008C26EF">
        <w:t xml:space="preserve"> in</w:t>
      </w:r>
      <w:r>
        <w:t xml:space="preserve"> conflict with the NPFA Deed of Dedication, and indeed with </w:t>
      </w:r>
      <w:r w:rsidR="00564B92">
        <w:t>any further development on the site.</w:t>
      </w:r>
      <w:r>
        <w:t xml:space="preserve">  </w:t>
      </w:r>
    </w:p>
    <w:p w:rsidR="008C26EF" w:rsidRDefault="008C26EF"/>
    <w:p w:rsidR="00D54546" w:rsidRPr="00D54546" w:rsidRDefault="00D54546" w:rsidP="00D54546">
      <w:pPr>
        <w:pStyle w:val="Heading1"/>
        <w:spacing w:before="120" w:after="120"/>
        <w:rPr>
          <w:rFonts w:ascii="Calibri" w:hAnsi="Calibri" w:cs="Calibri"/>
          <w:color w:val="auto"/>
        </w:rPr>
      </w:pPr>
      <w:r>
        <w:rPr>
          <w:rFonts w:ascii="Calibri" w:hAnsi="Calibri" w:cs="Calibri"/>
          <w:color w:val="auto"/>
        </w:rPr>
        <w:t>Pr</w:t>
      </w:r>
      <w:r w:rsidR="007A301C">
        <w:rPr>
          <w:rFonts w:ascii="Calibri" w:hAnsi="Calibri" w:cs="Calibri"/>
          <w:color w:val="auto"/>
        </w:rPr>
        <w:t>eliminary Recommendations and Pr</w:t>
      </w:r>
      <w:r>
        <w:rPr>
          <w:rFonts w:ascii="Calibri" w:hAnsi="Calibri" w:cs="Calibri"/>
          <w:color w:val="auto"/>
        </w:rPr>
        <w:t>oposal for Further Action</w:t>
      </w:r>
    </w:p>
    <w:p w:rsidR="007C7D1D" w:rsidRDefault="00840C58" w:rsidP="007C7D1D">
      <w:pPr>
        <w:spacing w:after="0"/>
      </w:pPr>
      <w:r>
        <w:t>Taken in isolation, and b</w:t>
      </w:r>
      <w:r w:rsidR="007C7D1D">
        <w:t xml:space="preserve">ased on the information available, it is considered that the first two options identified above are both viable (putting in place a further Deed of Dedication with the NPFA, and designating the Foxhills Open Space as </w:t>
      </w:r>
      <w:r w:rsidR="00FD506A">
        <w:t>Local</w:t>
      </w:r>
      <w:r w:rsidR="007C7D1D">
        <w:t xml:space="preserve"> Green Space). However, it</w:t>
      </w:r>
      <w:r w:rsidR="007A301C">
        <w:t xml:space="preserve"> is recommended that the first </w:t>
      </w:r>
      <w:r w:rsidR="007C7D1D">
        <w:t xml:space="preserve">of these </w:t>
      </w:r>
      <w:r w:rsidR="007A301C">
        <w:t xml:space="preserve">is </w:t>
      </w:r>
      <w:r w:rsidR="007C7D1D">
        <w:t xml:space="preserve">considered as the preferred option because of the potential </w:t>
      </w:r>
      <w:r w:rsidR="007F5251">
        <w:t>for</w:t>
      </w:r>
      <w:r w:rsidR="007C7D1D">
        <w:t xml:space="preserve"> </w:t>
      </w:r>
      <w:r>
        <w:t>using the addition</w:t>
      </w:r>
      <w:r w:rsidR="006F6FA7">
        <w:t xml:space="preserve"> of the Foxhills Open Space </w:t>
      </w:r>
      <w:r>
        <w:t xml:space="preserve">to secure </w:t>
      </w:r>
      <w:r w:rsidR="006F6FA7">
        <w:t>NPFA</w:t>
      </w:r>
      <w:r>
        <w:t xml:space="preserve"> agreement to changes </w:t>
      </w:r>
      <w:r w:rsidR="007C7D1D">
        <w:t>to the Deed of Dedication completed for the Recreation Ground in 2013.</w:t>
      </w:r>
    </w:p>
    <w:p w:rsidR="00D54546" w:rsidRDefault="00D54546">
      <w:r>
        <w:t>The following actions need to be completed before a final proposal can be submitted for consideration by the Parish Council:</w:t>
      </w:r>
    </w:p>
    <w:p w:rsidR="00564B92" w:rsidRDefault="00564B92" w:rsidP="00564B92">
      <w:pPr>
        <w:pStyle w:val="ListParagraph"/>
        <w:numPr>
          <w:ilvl w:val="0"/>
          <w:numId w:val="6"/>
        </w:numPr>
      </w:pPr>
      <w:r>
        <w:t>The preparation of outline proposals for development of the village centre, to determine whether any movement of the boundary used to delineate the area covered by the NPFA Deed of Protection for the Recreation Ground is required.</w:t>
      </w:r>
    </w:p>
    <w:p w:rsidR="007C7D1D" w:rsidRDefault="007C7D1D" w:rsidP="007C7D1D">
      <w:pPr>
        <w:pStyle w:val="ListParagraph"/>
        <w:numPr>
          <w:ilvl w:val="0"/>
          <w:numId w:val="6"/>
        </w:numPr>
      </w:pPr>
      <w:r>
        <w:t xml:space="preserve">A discussion with the NPFA to secure agreement </w:t>
      </w:r>
      <w:r w:rsidR="00564B92">
        <w:t>i</w:t>
      </w:r>
      <w:r>
        <w:t xml:space="preserve">n principle that the boundary of the area covered by the Deed of Dedication </w:t>
      </w:r>
      <w:r w:rsidR="00564B92">
        <w:t xml:space="preserve">for the Recreation Ground </w:t>
      </w:r>
      <w:r>
        <w:t>can be moved to accommodate the Parish Council’s plans for development of the village centre.</w:t>
      </w:r>
    </w:p>
    <w:p w:rsidR="00DA75F0" w:rsidRDefault="00DA75F0" w:rsidP="007C7D1D">
      <w:pPr>
        <w:pStyle w:val="ListParagraph"/>
        <w:numPr>
          <w:ilvl w:val="0"/>
          <w:numId w:val="6"/>
        </w:numPr>
      </w:pPr>
      <w:r>
        <w:t>A</w:t>
      </w:r>
      <w:r w:rsidR="00450942">
        <w:t xml:space="preserve"> proper</w:t>
      </w:r>
      <w:r>
        <w:t xml:space="preserve"> review of the documents put in place </w:t>
      </w:r>
      <w:r w:rsidR="006F6FA7">
        <w:t xml:space="preserve">in 1964 </w:t>
      </w:r>
      <w:r>
        <w:t xml:space="preserve">for transfer of </w:t>
      </w:r>
      <w:r w:rsidR="008C26EF">
        <w:t xml:space="preserve">the Recreation Ground from </w:t>
      </w:r>
      <w:r w:rsidR="00450942">
        <w:t>a member of the Dillon-</w:t>
      </w:r>
      <w:proofErr w:type="spellStart"/>
      <w:r w:rsidR="00450942">
        <w:t>Trenchard</w:t>
      </w:r>
      <w:proofErr w:type="spellEnd"/>
      <w:r w:rsidR="00450942">
        <w:t xml:space="preserve"> family </w:t>
      </w:r>
      <w:r>
        <w:t xml:space="preserve">to the Parish Council to check </w:t>
      </w:r>
      <w:r w:rsidR="00450942">
        <w:t>the</w:t>
      </w:r>
      <w:r>
        <w:t xml:space="preserve"> restrictions that were put in place</w:t>
      </w:r>
      <w:r w:rsidR="00450942">
        <w:t xml:space="preserve"> in favour of the owner of “The Shooting Box”</w:t>
      </w:r>
      <w:r>
        <w:t>. The Land Registry title documents</w:t>
      </w:r>
      <w:r w:rsidR="006F6FA7">
        <w:t xml:space="preserve"> for the Recreation Ground</w:t>
      </w:r>
      <w:r>
        <w:t xml:space="preserve"> may </w:t>
      </w:r>
      <w:r w:rsidR="006F6FA7">
        <w:t>also record</w:t>
      </w:r>
      <w:r>
        <w:t xml:space="preserve"> </w:t>
      </w:r>
      <w:r w:rsidR="00450942">
        <w:t>these</w:t>
      </w:r>
      <w:r>
        <w:t xml:space="preserve"> restrictions.</w:t>
      </w:r>
      <w:r w:rsidR="00450942">
        <w:t xml:space="preserve"> This review needs to consider the impact of these restrictions, if any, on the NPFA Deed of Dedication for the Recreation Ground put in place in 2013, together with the impact on any future development proposed on the Recreation Ground by the Parish Council.</w:t>
      </w:r>
    </w:p>
    <w:p w:rsidR="00DA75F0" w:rsidRDefault="00DA75F0" w:rsidP="007C7D1D">
      <w:pPr>
        <w:pStyle w:val="ListParagraph"/>
        <w:numPr>
          <w:ilvl w:val="0"/>
          <w:numId w:val="6"/>
        </w:numPr>
      </w:pPr>
      <w:r>
        <w:t>A review of the Section 106 agreement for the Foxhills Open Space</w:t>
      </w:r>
      <w:r w:rsidR="00840C58">
        <w:t xml:space="preserve">, together with associated documents, </w:t>
      </w:r>
      <w:r>
        <w:t>to identify any restrictions on action by the Parish Council in relation to the land.</w:t>
      </w:r>
    </w:p>
    <w:p w:rsidR="00DA75F0" w:rsidRDefault="00DA75F0" w:rsidP="007C7D1D">
      <w:pPr>
        <w:pStyle w:val="ListParagraph"/>
        <w:numPr>
          <w:ilvl w:val="0"/>
          <w:numId w:val="6"/>
        </w:numPr>
      </w:pPr>
      <w:r>
        <w:t xml:space="preserve">The preparation of draft terms for a possible Deed of Dedication for the Foxhills Open Space, including for example the extent of the area to be protected and the allowable future uses for the land. </w:t>
      </w:r>
    </w:p>
    <w:p w:rsidR="00DA75F0" w:rsidRDefault="00DA75F0" w:rsidP="00DA75F0"/>
    <w:p w:rsidR="007C7D1D" w:rsidRDefault="007C7D1D"/>
    <w:p w:rsidR="00D54546" w:rsidRDefault="00D54546"/>
    <w:sectPr w:rsidR="00D54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8BB"/>
    <w:multiLevelType w:val="hybridMultilevel"/>
    <w:tmpl w:val="00C4B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F4653"/>
    <w:multiLevelType w:val="hybridMultilevel"/>
    <w:tmpl w:val="44B2E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428B6"/>
    <w:multiLevelType w:val="hybridMultilevel"/>
    <w:tmpl w:val="34DE8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47584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3"/>
  </w:num>
  <w:num w:numId="4">
    <w:abstractNumId w:val="3"/>
  </w:num>
  <w:num w:numId="5">
    <w:abstractNumId w:val="3"/>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60"/>
    <w:rsid w:val="00215EC0"/>
    <w:rsid w:val="00362A65"/>
    <w:rsid w:val="004058C4"/>
    <w:rsid w:val="00406B48"/>
    <w:rsid w:val="0042652C"/>
    <w:rsid w:val="00450942"/>
    <w:rsid w:val="0045595B"/>
    <w:rsid w:val="00491FA4"/>
    <w:rsid w:val="00564B92"/>
    <w:rsid w:val="005765E5"/>
    <w:rsid w:val="00591A6A"/>
    <w:rsid w:val="005C4B65"/>
    <w:rsid w:val="00664778"/>
    <w:rsid w:val="00676CAE"/>
    <w:rsid w:val="006C0183"/>
    <w:rsid w:val="006F6FA7"/>
    <w:rsid w:val="00742DAF"/>
    <w:rsid w:val="00755AA2"/>
    <w:rsid w:val="007A301C"/>
    <w:rsid w:val="007C7D1D"/>
    <w:rsid w:val="007F4D29"/>
    <w:rsid w:val="007F5251"/>
    <w:rsid w:val="00840C58"/>
    <w:rsid w:val="00876E60"/>
    <w:rsid w:val="00890E58"/>
    <w:rsid w:val="008A64FE"/>
    <w:rsid w:val="008C26EF"/>
    <w:rsid w:val="008E5B90"/>
    <w:rsid w:val="00950893"/>
    <w:rsid w:val="009E3DB6"/>
    <w:rsid w:val="00A558EB"/>
    <w:rsid w:val="00B72C6A"/>
    <w:rsid w:val="00B761E7"/>
    <w:rsid w:val="00C55024"/>
    <w:rsid w:val="00C9666A"/>
    <w:rsid w:val="00D54546"/>
    <w:rsid w:val="00DA75F0"/>
    <w:rsid w:val="00DC683B"/>
    <w:rsid w:val="00F4469A"/>
    <w:rsid w:val="00F74205"/>
    <w:rsid w:val="00FD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6DB1B-3ECB-4255-90C0-97C354EF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DA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2DA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2DA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A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2DA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2DA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2DA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2DA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2DA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DAF"/>
    <w:rPr>
      <w:rFonts w:ascii="Tahoma" w:hAnsi="Tahoma" w:cs="Tahoma"/>
      <w:sz w:val="16"/>
      <w:szCs w:val="16"/>
    </w:rPr>
  </w:style>
  <w:style w:type="paragraph" w:styleId="ListParagraph">
    <w:name w:val="List Paragraph"/>
    <w:basedOn w:val="Normal"/>
    <w:uiPriority w:val="34"/>
    <w:qFormat/>
    <w:rsid w:val="00742DAF"/>
    <w:pPr>
      <w:ind w:left="720"/>
      <w:contextualSpacing/>
    </w:pPr>
  </w:style>
  <w:style w:type="character" w:customStyle="1" w:styleId="Heading1Char">
    <w:name w:val="Heading 1 Char"/>
    <w:basedOn w:val="DefaultParagraphFont"/>
    <w:link w:val="Heading1"/>
    <w:uiPriority w:val="9"/>
    <w:rsid w:val="00742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2D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2D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2D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2D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2D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2D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2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2D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C4B65"/>
    <w:rPr>
      <w:color w:val="0000FF"/>
      <w:u w:val="single"/>
    </w:rPr>
  </w:style>
  <w:style w:type="paragraph" w:customStyle="1" w:styleId="scopecontent1">
    <w:name w:val="scopecontent1"/>
    <w:basedOn w:val="Normal"/>
    <w:rsid w:val="005765E5"/>
    <w:pPr>
      <w:spacing w:after="0" w:line="384"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42682">
      <w:bodyDiv w:val="1"/>
      <w:marLeft w:val="0"/>
      <w:marRight w:val="0"/>
      <w:marTop w:val="0"/>
      <w:marBottom w:val="0"/>
      <w:divBdr>
        <w:top w:val="none" w:sz="0" w:space="0" w:color="auto"/>
        <w:left w:val="none" w:sz="0" w:space="0" w:color="auto"/>
        <w:bottom w:val="none" w:sz="0" w:space="0" w:color="auto"/>
        <w:right w:val="none" w:sz="0" w:space="0" w:color="auto"/>
      </w:divBdr>
    </w:div>
    <w:div w:id="1227958960">
      <w:bodyDiv w:val="1"/>
      <w:marLeft w:val="0"/>
      <w:marRight w:val="0"/>
      <w:marTop w:val="0"/>
      <w:marBottom w:val="0"/>
      <w:divBdr>
        <w:top w:val="none" w:sz="0" w:space="0" w:color="auto"/>
        <w:left w:val="none" w:sz="0" w:space="0" w:color="auto"/>
        <w:bottom w:val="none" w:sz="0" w:space="0" w:color="auto"/>
        <w:right w:val="none" w:sz="0" w:space="0" w:color="auto"/>
      </w:divBdr>
    </w:div>
    <w:div w:id="1468745416">
      <w:bodyDiv w:val="1"/>
      <w:marLeft w:val="0"/>
      <w:marRight w:val="0"/>
      <w:marTop w:val="0"/>
      <w:marBottom w:val="0"/>
      <w:divBdr>
        <w:top w:val="none" w:sz="0" w:space="0" w:color="auto"/>
        <w:left w:val="none" w:sz="0" w:space="0" w:color="auto"/>
        <w:bottom w:val="none" w:sz="0" w:space="0" w:color="auto"/>
        <w:right w:val="none" w:sz="0" w:space="0" w:color="auto"/>
      </w:divBdr>
      <w:divsChild>
        <w:div w:id="1045445972">
          <w:marLeft w:val="0"/>
          <w:marRight w:val="0"/>
          <w:marTop w:val="0"/>
          <w:marBottom w:val="0"/>
          <w:divBdr>
            <w:top w:val="none" w:sz="0" w:space="0" w:color="auto"/>
            <w:left w:val="none" w:sz="0" w:space="0" w:color="auto"/>
            <w:bottom w:val="none" w:sz="0" w:space="0" w:color="auto"/>
            <w:right w:val="none" w:sz="0" w:space="0" w:color="auto"/>
          </w:divBdr>
          <w:divsChild>
            <w:div w:id="805582083">
              <w:marLeft w:val="0"/>
              <w:marRight w:val="0"/>
              <w:marTop w:val="0"/>
              <w:marBottom w:val="0"/>
              <w:divBdr>
                <w:top w:val="none" w:sz="0" w:space="0" w:color="auto"/>
                <w:left w:val="none" w:sz="0" w:space="0" w:color="auto"/>
                <w:bottom w:val="none" w:sz="0" w:space="0" w:color="auto"/>
                <w:right w:val="none" w:sz="0" w:space="0" w:color="auto"/>
              </w:divBdr>
              <w:divsChild>
                <w:div w:id="1020005905">
                  <w:marLeft w:val="0"/>
                  <w:marRight w:val="0"/>
                  <w:marTop w:val="0"/>
                  <w:marBottom w:val="0"/>
                  <w:divBdr>
                    <w:top w:val="none" w:sz="0" w:space="0" w:color="auto"/>
                    <w:left w:val="none" w:sz="0" w:space="0" w:color="auto"/>
                    <w:bottom w:val="none" w:sz="0" w:space="0" w:color="auto"/>
                    <w:right w:val="none" w:sz="0" w:space="0" w:color="auto"/>
                  </w:divBdr>
                  <w:divsChild>
                    <w:div w:id="591351635">
                      <w:marLeft w:val="0"/>
                      <w:marRight w:val="0"/>
                      <w:marTop w:val="0"/>
                      <w:marBottom w:val="0"/>
                      <w:divBdr>
                        <w:top w:val="none" w:sz="0" w:space="0" w:color="auto"/>
                        <w:left w:val="none" w:sz="0" w:space="0" w:color="auto"/>
                        <w:bottom w:val="none" w:sz="0" w:space="0" w:color="auto"/>
                        <w:right w:val="none" w:sz="0" w:space="0" w:color="auto"/>
                      </w:divBdr>
                      <w:divsChild>
                        <w:div w:id="1140616591">
                          <w:marLeft w:val="0"/>
                          <w:marRight w:val="0"/>
                          <w:marTop w:val="0"/>
                          <w:marBottom w:val="0"/>
                          <w:divBdr>
                            <w:top w:val="none" w:sz="0" w:space="0" w:color="auto"/>
                            <w:left w:val="none" w:sz="0" w:space="0" w:color="auto"/>
                            <w:bottom w:val="none" w:sz="0" w:space="0" w:color="auto"/>
                            <w:right w:val="none" w:sz="0" w:space="0" w:color="auto"/>
                          </w:divBdr>
                          <w:divsChild>
                            <w:div w:id="15698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www.woodlandtrust.org.uk/get-involved/communities/community-woodland/"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lph\Documents\lytchett%20matravers\Parish%20Council\Projects\Fields%20in%20Trust\NPF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data!$A$5</c:f>
              <c:strCache>
                <c:ptCount val="1"/>
                <c:pt idx="0">
                  <c:v>Income</c:v>
                </c:pt>
              </c:strCache>
            </c:strRef>
          </c:tx>
          <c:marker>
            <c:symbol val="none"/>
          </c:marker>
          <c:cat>
            <c:numRef>
              <c:f>data!$B$4:$K$4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data!$B$5:$K$5</c:f>
              <c:numCache>
                <c:formatCode>General</c:formatCode>
                <c:ptCount val="10"/>
                <c:pt idx="0">
                  <c:v>853173</c:v>
                </c:pt>
                <c:pt idx="1">
                  <c:v>647328</c:v>
                </c:pt>
                <c:pt idx="2">
                  <c:v>618925</c:v>
                </c:pt>
                <c:pt idx="3">
                  <c:v>1481996</c:v>
                </c:pt>
                <c:pt idx="4">
                  <c:v>1923779</c:v>
                </c:pt>
                <c:pt idx="5">
                  <c:v>3943676</c:v>
                </c:pt>
                <c:pt idx="6">
                  <c:v>1992588</c:v>
                </c:pt>
                <c:pt idx="7">
                  <c:v>1874000</c:v>
                </c:pt>
                <c:pt idx="8">
                  <c:v>688000</c:v>
                </c:pt>
                <c:pt idx="9">
                  <c:v>1290000</c:v>
                </c:pt>
              </c:numCache>
            </c:numRef>
          </c:val>
          <c:smooth val="0"/>
        </c:ser>
        <c:ser>
          <c:idx val="1"/>
          <c:order val="1"/>
          <c:tx>
            <c:strRef>
              <c:f>data!$A$6</c:f>
              <c:strCache>
                <c:ptCount val="1"/>
                <c:pt idx="0">
                  <c:v>Expenditure</c:v>
                </c:pt>
              </c:strCache>
            </c:strRef>
          </c:tx>
          <c:spPr>
            <a:ln>
              <a:solidFill>
                <a:schemeClr val="tx1"/>
              </a:solidFill>
            </a:ln>
          </c:spPr>
          <c:marker>
            <c:symbol val="none"/>
          </c:marker>
          <c:cat>
            <c:numRef>
              <c:f>data!$B$4:$K$4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data!$B$6:$K$6</c:f>
              <c:numCache>
                <c:formatCode>General</c:formatCode>
                <c:ptCount val="10"/>
                <c:pt idx="0">
                  <c:v>1245646</c:v>
                </c:pt>
                <c:pt idx="1">
                  <c:v>1060504</c:v>
                </c:pt>
                <c:pt idx="2">
                  <c:v>739646</c:v>
                </c:pt>
                <c:pt idx="3">
                  <c:v>983669</c:v>
                </c:pt>
                <c:pt idx="4">
                  <c:v>1702089</c:v>
                </c:pt>
                <c:pt idx="5">
                  <c:v>2540761</c:v>
                </c:pt>
                <c:pt idx="6">
                  <c:v>1776054</c:v>
                </c:pt>
                <c:pt idx="7">
                  <c:v>1670000</c:v>
                </c:pt>
                <c:pt idx="8">
                  <c:v>1231000</c:v>
                </c:pt>
                <c:pt idx="9">
                  <c:v>1277000</c:v>
                </c:pt>
              </c:numCache>
            </c:numRef>
          </c:val>
          <c:smooth val="0"/>
        </c:ser>
        <c:ser>
          <c:idx val="2"/>
          <c:order val="2"/>
          <c:tx>
            <c:strRef>
              <c:f>data!$A$7</c:f>
              <c:strCache>
                <c:ptCount val="1"/>
                <c:pt idx="0">
                  <c:v>Surplus/Shortfall</c:v>
                </c:pt>
              </c:strCache>
            </c:strRef>
          </c:tx>
          <c:spPr>
            <a:ln>
              <a:solidFill>
                <a:srgbClr val="FF0000"/>
              </a:solidFill>
            </a:ln>
          </c:spPr>
          <c:marker>
            <c:symbol val="none"/>
          </c:marker>
          <c:cat>
            <c:numRef>
              <c:f>data!$B$4:$K$4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data!$B$7:$K$7</c:f>
              <c:numCache>
                <c:formatCode>General</c:formatCode>
                <c:ptCount val="10"/>
                <c:pt idx="0">
                  <c:v>-392473</c:v>
                </c:pt>
                <c:pt idx="1">
                  <c:v>-413176</c:v>
                </c:pt>
                <c:pt idx="2">
                  <c:v>-120721</c:v>
                </c:pt>
                <c:pt idx="3">
                  <c:v>498327</c:v>
                </c:pt>
                <c:pt idx="4">
                  <c:v>221690</c:v>
                </c:pt>
                <c:pt idx="5">
                  <c:v>1402915</c:v>
                </c:pt>
                <c:pt idx="6">
                  <c:v>216534</c:v>
                </c:pt>
                <c:pt idx="7">
                  <c:v>204000</c:v>
                </c:pt>
                <c:pt idx="8">
                  <c:v>-543000</c:v>
                </c:pt>
                <c:pt idx="9">
                  <c:v>13000</c:v>
                </c:pt>
              </c:numCache>
            </c:numRef>
          </c:val>
          <c:smooth val="0"/>
        </c:ser>
        <c:dLbls>
          <c:showLegendKey val="0"/>
          <c:showVal val="0"/>
          <c:showCatName val="0"/>
          <c:showSerName val="0"/>
          <c:showPercent val="0"/>
          <c:showBubbleSize val="0"/>
        </c:dLbls>
        <c:marker val="1"/>
        <c:smooth val="0"/>
        <c:axId val="618316024"/>
        <c:axId val="618316416"/>
      </c:lineChart>
      <c:lineChart>
        <c:grouping val="standard"/>
        <c:varyColors val="0"/>
        <c:ser>
          <c:idx val="4"/>
          <c:order val="3"/>
          <c:tx>
            <c:strRef>
              <c:f>data!$A$9</c:f>
              <c:strCache>
                <c:ptCount val="1"/>
                <c:pt idx="0">
                  <c:v>Employees</c:v>
                </c:pt>
              </c:strCache>
            </c:strRef>
          </c:tx>
          <c:spPr>
            <a:ln>
              <a:solidFill>
                <a:srgbClr val="00B050"/>
              </a:solidFill>
            </a:ln>
          </c:spPr>
          <c:marker>
            <c:symbol val="none"/>
          </c:marker>
          <c:cat>
            <c:numRef>
              <c:f>data!$B$4:$K$4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data!$B$9:$K$9</c:f>
              <c:numCache>
                <c:formatCode>General</c:formatCode>
                <c:ptCount val="10"/>
                <c:pt idx="0">
                  <c:v>18</c:v>
                </c:pt>
                <c:pt idx="1">
                  <c:v>14</c:v>
                </c:pt>
                <c:pt idx="2">
                  <c:v>9</c:v>
                </c:pt>
                <c:pt idx="3">
                  <c:v>9</c:v>
                </c:pt>
                <c:pt idx="4">
                  <c:v>12</c:v>
                </c:pt>
                <c:pt idx="5">
                  <c:v>20</c:v>
                </c:pt>
                <c:pt idx="6">
                  <c:v>20</c:v>
                </c:pt>
                <c:pt idx="7">
                  <c:v>17</c:v>
                </c:pt>
                <c:pt idx="8">
                  <c:v>17</c:v>
                </c:pt>
                <c:pt idx="9">
                  <c:v>17</c:v>
                </c:pt>
              </c:numCache>
            </c:numRef>
          </c:val>
          <c:smooth val="0"/>
        </c:ser>
        <c:dLbls>
          <c:showLegendKey val="0"/>
          <c:showVal val="0"/>
          <c:showCatName val="0"/>
          <c:showSerName val="0"/>
          <c:showPercent val="0"/>
          <c:showBubbleSize val="0"/>
        </c:dLbls>
        <c:marker val="1"/>
        <c:smooth val="0"/>
        <c:axId val="618317200"/>
        <c:axId val="618315632"/>
      </c:lineChart>
      <c:catAx>
        <c:axId val="618316024"/>
        <c:scaling>
          <c:orientation val="minMax"/>
        </c:scaling>
        <c:delete val="0"/>
        <c:axPos val="b"/>
        <c:numFmt formatCode="General" sourceLinked="1"/>
        <c:majorTickMark val="out"/>
        <c:minorTickMark val="none"/>
        <c:tickLblPos val="nextTo"/>
        <c:crossAx val="618316416"/>
        <c:crosses val="autoZero"/>
        <c:auto val="1"/>
        <c:lblAlgn val="ctr"/>
        <c:lblOffset val="100"/>
        <c:noMultiLvlLbl val="0"/>
      </c:catAx>
      <c:valAx>
        <c:axId val="618316416"/>
        <c:scaling>
          <c:orientation val="minMax"/>
        </c:scaling>
        <c:delete val="0"/>
        <c:axPos val="l"/>
        <c:majorGridlines/>
        <c:title>
          <c:tx>
            <c:rich>
              <a:bodyPr rot="0" vert="horz"/>
              <a:lstStyle/>
              <a:p>
                <a:pPr>
                  <a:defRPr/>
                </a:pPr>
                <a:r>
                  <a:rPr lang="en-US"/>
                  <a:t>Value in £</a:t>
                </a:r>
              </a:p>
            </c:rich>
          </c:tx>
          <c:overlay val="0"/>
        </c:title>
        <c:numFmt formatCode="#,##0" sourceLinked="0"/>
        <c:majorTickMark val="out"/>
        <c:minorTickMark val="none"/>
        <c:tickLblPos val="nextTo"/>
        <c:crossAx val="618316024"/>
        <c:crosses val="autoZero"/>
        <c:crossBetween val="between"/>
      </c:valAx>
      <c:valAx>
        <c:axId val="618315632"/>
        <c:scaling>
          <c:orientation val="minMax"/>
        </c:scaling>
        <c:delete val="0"/>
        <c:axPos val="r"/>
        <c:title>
          <c:tx>
            <c:rich>
              <a:bodyPr rot="0" vert="horz"/>
              <a:lstStyle/>
              <a:p>
                <a:pPr>
                  <a:defRPr/>
                </a:pPr>
                <a:r>
                  <a:rPr lang="en-US"/>
                  <a:t>Number of</a:t>
                </a:r>
              </a:p>
              <a:p>
                <a:pPr>
                  <a:defRPr/>
                </a:pPr>
                <a:r>
                  <a:rPr lang="en-US"/>
                  <a:t>Employees</a:t>
                </a:r>
              </a:p>
            </c:rich>
          </c:tx>
          <c:overlay val="0"/>
        </c:title>
        <c:numFmt formatCode="General" sourceLinked="1"/>
        <c:majorTickMark val="out"/>
        <c:minorTickMark val="none"/>
        <c:tickLblPos val="nextTo"/>
        <c:crossAx val="618317200"/>
        <c:crosses val="max"/>
        <c:crossBetween val="between"/>
      </c:valAx>
      <c:catAx>
        <c:axId val="618317200"/>
        <c:scaling>
          <c:orientation val="minMax"/>
        </c:scaling>
        <c:delete val="1"/>
        <c:axPos val="b"/>
        <c:numFmt formatCode="General" sourceLinked="1"/>
        <c:majorTickMark val="out"/>
        <c:minorTickMark val="none"/>
        <c:tickLblPos val="nextTo"/>
        <c:crossAx val="618315632"/>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2018-04-17T17:17:00Z</dcterms:created>
  <dcterms:modified xsi:type="dcterms:W3CDTF">2018-04-17T17:17:00Z</dcterms:modified>
</cp:coreProperties>
</file>