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28" w:rsidRPr="00F80EDE" w:rsidRDefault="00A33528">
      <w:pPr>
        <w:pStyle w:val="Heading6"/>
      </w:pPr>
      <w:bookmarkStart w:id="0" w:name="_GoBack"/>
      <w:bookmarkEnd w:id="0"/>
      <w:r w:rsidRPr="00F80EDE">
        <w:t>LYCHETT MATRAVERS PARISH COUNCIL</w:t>
      </w:r>
    </w:p>
    <w:p w:rsidR="00A33528" w:rsidRPr="00F80EDE" w:rsidRDefault="00A33528">
      <w:pPr>
        <w:jc w:val="center"/>
        <w:rPr>
          <w:b/>
          <w:sz w:val="24"/>
          <w:u w:val="single"/>
        </w:rPr>
      </w:pPr>
    </w:p>
    <w:p w:rsidR="00A33528" w:rsidRPr="00F80EDE" w:rsidRDefault="00A33528" w:rsidP="008876B2">
      <w:pPr>
        <w:pStyle w:val="Heading7"/>
        <w:jc w:val="center"/>
      </w:pPr>
      <w:r w:rsidRPr="00F80EDE">
        <w:t>COMMENTARY ON AUDIT STATEMENT 20</w:t>
      </w:r>
      <w:r w:rsidR="008D0CD1" w:rsidRPr="00F80EDE">
        <w:t>1</w:t>
      </w:r>
      <w:r w:rsidR="00D6439E" w:rsidRPr="00F80EDE">
        <w:t>7</w:t>
      </w:r>
      <w:r w:rsidR="00DE63FF" w:rsidRPr="00F80EDE">
        <w:t>-</w:t>
      </w:r>
      <w:r w:rsidR="00B6527E" w:rsidRPr="00F80EDE">
        <w:t>1</w:t>
      </w:r>
      <w:r w:rsidR="00D6439E" w:rsidRPr="00F80EDE">
        <w:t>8</w:t>
      </w:r>
    </w:p>
    <w:p w:rsidR="00A33528" w:rsidRPr="00F80EDE" w:rsidRDefault="00A33528">
      <w:pPr>
        <w:rPr>
          <w:b/>
          <w:sz w:val="24"/>
          <w:u w:val="single"/>
        </w:rPr>
      </w:pPr>
    </w:p>
    <w:p w:rsidR="00A33528" w:rsidRPr="00F80EDE" w:rsidRDefault="00A33528">
      <w:pPr>
        <w:pStyle w:val="Heading4"/>
      </w:pPr>
      <w:r w:rsidRPr="00F80EDE">
        <w:t xml:space="preserve">Section </w:t>
      </w:r>
      <w:r w:rsidR="00977466">
        <w:t>2</w:t>
      </w:r>
      <w:r w:rsidRPr="00F80EDE">
        <w:t xml:space="preserve"> contains the following figures: -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1276"/>
        <w:gridCol w:w="1276"/>
        <w:gridCol w:w="2694"/>
      </w:tblGrid>
      <w:tr w:rsidR="00F80EDE" w:rsidRPr="00F80EDE" w:rsidTr="00D6439E">
        <w:tc>
          <w:tcPr>
            <w:tcW w:w="709" w:type="dxa"/>
          </w:tcPr>
          <w:p w:rsidR="00D6439E" w:rsidRPr="00F80EDE" w:rsidRDefault="00D6439E" w:rsidP="0070639D">
            <w:pPr>
              <w:pStyle w:val="Heading8"/>
            </w:pPr>
            <w:r w:rsidRPr="00F80EDE">
              <w:t>Box</w:t>
            </w:r>
          </w:p>
        </w:tc>
        <w:tc>
          <w:tcPr>
            <w:tcW w:w="2693" w:type="dxa"/>
          </w:tcPr>
          <w:p w:rsidR="00D6439E" w:rsidRPr="00F80EDE" w:rsidRDefault="00D6439E" w:rsidP="0070639D">
            <w:pPr>
              <w:rPr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D6439E" w:rsidRPr="00F80EDE" w:rsidRDefault="00D6439E" w:rsidP="0070639D">
            <w:pPr>
              <w:jc w:val="right"/>
              <w:rPr>
                <w:b/>
                <w:sz w:val="24"/>
                <w:u w:val="single"/>
              </w:rPr>
            </w:pPr>
            <w:r w:rsidRPr="00F80EDE">
              <w:rPr>
                <w:b/>
                <w:sz w:val="24"/>
                <w:u w:val="single"/>
              </w:rPr>
              <w:t>2016/17</w:t>
            </w:r>
          </w:p>
        </w:tc>
        <w:tc>
          <w:tcPr>
            <w:tcW w:w="1276" w:type="dxa"/>
          </w:tcPr>
          <w:p w:rsidR="00D6439E" w:rsidRPr="00F80EDE" w:rsidRDefault="00D6439E" w:rsidP="0070639D">
            <w:pPr>
              <w:jc w:val="right"/>
              <w:rPr>
                <w:b/>
                <w:sz w:val="24"/>
                <w:u w:val="single"/>
              </w:rPr>
            </w:pPr>
            <w:r w:rsidRPr="00F80EDE">
              <w:rPr>
                <w:b/>
                <w:sz w:val="24"/>
                <w:u w:val="single"/>
              </w:rPr>
              <w:t>2017/18</w:t>
            </w:r>
          </w:p>
        </w:tc>
        <w:tc>
          <w:tcPr>
            <w:tcW w:w="1276" w:type="dxa"/>
          </w:tcPr>
          <w:p w:rsidR="00D6439E" w:rsidRPr="00F80EDE" w:rsidRDefault="00D6439E" w:rsidP="00D6439E">
            <w:pPr>
              <w:jc w:val="right"/>
              <w:rPr>
                <w:b/>
                <w:sz w:val="24"/>
                <w:u w:val="single"/>
              </w:rPr>
            </w:pPr>
            <w:r w:rsidRPr="00F80EDE">
              <w:rPr>
                <w:b/>
                <w:sz w:val="24"/>
                <w:u w:val="single"/>
              </w:rPr>
              <w:t>17/18 Diff</w:t>
            </w:r>
          </w:p>
        </w:tc>
        <w:tc>
          <w:tcPr>
            <w:tcW w:w="2694" w:type="dxa"/>
          </w:tcPr>
          <w:p w:rsidR="00D6439E" w:rsidRPr="00F80EDE" w:rsidRDefault="00D6439E" w:rsidP="0070639D">
            <w:pPr>
              <w:jc w:val="right"/>
              <w:rPr>
                <w:b/>
                <w:sz w:val="24"/>
                <w:u w:val="single"/>
              </w:rPr>
            </w:pPr>
            <w:r w:rsidRPr="00F80EDE">
              <w:rPr>
                <w:b/>
                <w:sz w:val="24"/>
                <w:u w:val="single"/>
              </w:rPr>
              <w:t>Comment</w:t>
            </w:r>
          </w:p>
        </w:tc>
      </w:tr>
      <w:tr w:rsidR="00F80EDE" w:rsidRPr="00F80EDE" w:rsidTr="00D6439E">
        <w:tc>
          <w:tcPr>
            <w:tcW w:w="709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1.</w:t>
            </w:r>
          </w:p>
        </w:tc>
        <w:tc>
          <w:tcPr>
            <w:tcW w:w="2693" w:type="dxa"/>
          </w:tcPr>
          <w:p w:rsidR="00D6439E" w:rsidRPr="00F80EDE" w:rsidRDefault="00D6439E" w:rsidP="0070639D">
            <w:pPr>
              <w:rPr>
                <w:sz w:val="24"/>
              </w:rPr>
            </w:pPr>
            <w:r w:rsidRPr="00F80EDE">
              <w:rPr>
                <w:sz w:val="24"/>
              </w:rPr>
              <w:t>B/F</w:t>
            </w:r>
          </w:p>
        </w:tc>
        <w:tc>
          <w:tcPr>
            <w:tcW w:w="1134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100,523</w:t>
            </w:r>
          </w:p>
        </w:tc>
        <w:tc>
          <w:tcPr>
            <w:tcW w:w="1276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41,590</w:t>
            </w:r>
          </w:p>
        </w:tc>
        <w:tc>
          <w:tcPr>
            <w:tcW w:w="1276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</w:p>
        </w:tc>
      </w:tr>
      <w:tr w:rsidR="00F80EDE" w:rsidRPr="00F80EDE" w:rsidTr="00D6439E">
        <w:tc>
          <w:tcPr>
            <w:tcW w:w="709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2.</w:t>
            </w:r>
          </w:p>
        </w:tc>
        <w:tc>
          <w:tcPr>
            <w:tcW w:w="2693" w:type="dxa"/>
          </w:tcPr>
          <w:p w:rsidR="00D6439E" w:rsidRPr="00F80EDE" w:rsidRDefault="00D6439E" w:rsidP="0070639D">
            <w:pPr>
              <w:rPr>
                <w:sz w:val="24"/>
              </w:rPr>
            </w:pPr>
            <w:r w:rsidRPr="00F80EDE">
              <w:rPr>
                <w:sz w:val="24"/>
              </w:rPr>
              <w:t>+ Annual precept</w:t>
            </w:r>
          </w:p>
        </w:tc>
        <w:tc>
          <w:tcPr>
            <w:tcW w:w="1134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55,581</w:t>
            </w:r>
          </w:p>
        </w:tc>
        <w:tc>
          <w:tcPr>
            <w:tcW w:w="1276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59,295</w:t>
            </w:r>
          </w:p>
        </w:tc>
        <w:tc>
          <w:tcPr>
            <w:tcW w:w="1276" w:type="dxa"/>
          </w:tcPr>
          <w:p w:rsidR="00D6439E" w:rsidRPr="00F80EDE" w:rsidRDefault="00B2283A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3,714</w:t>
            </w:r>
          </w:p>
        </w:tc>
        <w:tc>
          <w:tcPr>
            <w:tcW w:w="2694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 xml:space="preserve">Comment 1 </w:t>
            </w:r>
          </w:p>
        </w:tc>
      </w:tr>
      <w:tr w:rsidR="00F80EDE" w:rsidRPr="00F80EDE" w:rsidTr="00D6439E">
        <w:tc>
          <w:tcPr>
            <w:tcW w:w="709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3.</w:t>
            </w:r>
          </w:p>
        </w:tc>
        <w:tc>
          <w:tcPr>
            <w:tcW w:w="2693" w:type="dxa"/>
          </w:tcPr>
          <w:p w:rsidR="00D6439E" w:rsidRPr="00F80EDE" w:rsidRDefault="00D6439E" w:rsidP="0070639D">
            <w:pPr>
              <w:rPr>
                <w:sz w:val="24"/>
              </w:rPr>
            </w:pPr>
            <w:r w:rsidRPr="00F80EDE">
              <w:rPr>
                <w:sz w:val="24"/>
              </w:rPr>
              <w:t>+ Total other receipts</w:t>
            </w:r>
          </w:p>
        </w:tc>
        <w:tc>
          <w:tcPr>
            <w:tcW w:w="1134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14,926</w:t>
            </w:r>
          </w:p>
        </w:tc>
        <w:tc>
          <w:tcPr>
            <w:tcW w:w="1276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26,911</w:t>
            </w:r>
          </w:p>
        </w:tc>
        <w:tc>
          <w:tcPr>
            <w:tcW w:w="1276" w:type="dxa"/>
          </w:tcPr>
          <w:p w:rsidR="00D6439E" w:rsidRPr="00F80EDE" w:rsidRDefault="00B2283A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11,985</w:t>
            </w:r>
          </w:p>
        </w:tc>
        <w:tc>
          <w:tcPr>
            <w:tcW w:w="2694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 xml:space="preserve">Comment 2 </w:t>
            </w:r>
          </w:p>
        </w:tc>
      </w:tr>
      <w:tr w:rsidR="00F80EDE" w:rsidRPr="00F80EDE" w:rsidTr="00D6439E">
        <w:tc>
          <w:tcPr>
            <w:tcW w:w="709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4.</w:t>
            </w:r>
          </w:p>
        </w:tc>
        <w:tc>
          <w:tcPr>
            <w:tcW w:w="2693" w:type="dxa"/>
          </w:tcPr>
          <w:p w:rsidR="00D6439E" w:rsidRPr="00F80EDE" w:rsidRDefault="00D6439E" w:rsidP="0070639D">
            <w:pPr>
              <w:rPr>
                <w:sz w:val="24"/>
              </w:rPr>
            </w:pPr>
            <w:r w:rsidRPr="00F80EDE">
              <w:rPr>
                <w:sz w:val="24"/>
              </w:rPr>
              <w:t>- Staff costs</w:t>
            </w:r>
          </w:p>
        </w:tc>
        <w:tc>
          <w:tcPr>
            <w:tcW w:w="1134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16,363</w:t>
            </w:r>
          </w:p>
        </w:tc>
        <w:tc>
          <w:tcPr>
            <w:tcW w:w="1276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19,368</w:t>
            </w:r>
          </w:p>
        </w:tc>
        <w:tc>
          <w:tcPr>
            <w:tcW w:w="1276" w:type="dxa"/>
          </w:tcPr>
          <w:p w:rsidR="00D6439E" w:rsidRPr="00F80EDE" w:rsidRDefault="00B2283A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3005</w:t>
            </w:r>
          </w:p>
        </w:tc>
        <w:tc>
          <w:tcPr>
            <w:tcW w:w="2694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Comment 3</w:t>
            </w:r>
          </w:p>
        </w:tc>
      </w:tr>
      <w:tr w:rsidR="00F80EDE" w:rsidRPr="00F80EDE" w:rsidTr="00D6439E">
        <w:tc>
          <w:tcPr>
            <w:tcW w:w="709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5.</w:t>
            </w:r>
          </w:p>
        </w:tc>
        <w:tc>
          <w:tcPr>
            <w:tcW w:w="2693" w:type="dxa"/>
          </w:tcPr>
          <w:p w:rsidR="00D6439E" w:rsidRPr="00F80EDE" w:rsidRDefault="00D6439E" w:rsidP="0070639D">
            <w:pPr>
              <w:rPr>
                <w:sz w:val="24"/>
              </w:rPr>
            </w:pPr>
            <w:r w:rsidRPr="00F80EDE">
              <w:rPr>
                <w:sz w:val="24"/>
              </w:rPr>
              <w:t>- Loan interest</w:t>
            </w:r>
          </w:p>
        </w:tc>
        <w:tc>
          <w:tcPr>
            <w:tcW w:w="1134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Nil</w:t>
            </w:r>
          </w:p>
        </w:tc>
        <w:tc>
          <w:tcPr>
            <w:tcW w:w="1276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Nil</w:t>
            </w:r>
          </w:p>
        </w:tc>
        <w:tc>
          <w:tcPr>
            <w:tcW w:w="1276" w:type="dxa"/>
          </w:tcPr>
          <w:p w:rsidR="00D6439E" w:rsidRPr="00F80EDE" w:rsidRDefault="00B2283A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N/A</w:t>
            </w:r>
          </w:p>
        </w:tc>
        <w:tc>
          <w:tcPr>
            <w:tcW w:w="2694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</w:p>
        </w:tc>
      </w:tr>
      <w:tr w:rsidR="00F80EDE" w:rsidRPr="00F80EDE" w:rsidTr="00D6439E">
        <w:tc>
          <w:tcPr>
            <w:tcW w:w="709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6.</w:t>
            </w:r>
          </w:p>
        </w:tc>
        <w:tc>
          <w:tcPr>
            <w:tcW w:w="2693" w:type="dxa"/>
          </w:tcPr>
          <w:p w:rsidR="00D6439E" w:rsidRPr="00F80EDE" w:rsidRDefault="00D6439E" w:rsidP="0070639D">
            <w:pPr>
              <w:rPr>
                <w:sz w:val="24"/>
              </w:rPr>
            </w:pPr>
            <w:r w:rsidRPr="00F80EDE">
              <w:rPr>
                <w:sz w:val="24"/>
              </w:rPr>
              <w:t>- Total other costs</w:t>
            </w:r>
          </w:p>
        </w:tc>
        <w:tc>
          <w:tcPr>
            <w:tcW w:w="1134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113,077</w:t>
            </w:r>
          </w:p>
        </w:tc>
        <w:tc>
          <w:tcPr>
            <w:tcW w:w="1276" w:type="dxa"/>
          </w:tcPr>
          <w:p w:rsidR="00D6439E" w:rsidRPr="00F80EDE" w:rsidRDefault="00D6439E" w:rsidP="00D6439E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62,496</w:t>
            </w:r>
          </w:p>
        </w:tc>
        <w:tc>
          <w:tcPr>
            <w:tcW w:w="1276" w:type="dxa"/>
          </w:tcPr>
          <w:p w:rsidR="00D6439E" w:rsidRPr="00F80EDE" w:rsidRDefault="00B2283A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-50,581</w:t>
            </w:r>
          </w:p>
        </w:tc>
        <w:tc>
          <w:tcPr>
            <w:tcW w:w="2694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Comment 4</w:t>
            </w:r>
          </w:p>
        </w:tc>
      </w:tr>
      <w:tr w:rsidR="00F80EDE" w:rsidRPr="00F80EDE" w:rsidTr="00D6439E">
        <w:tc>
          <w:tcPr>
            <w:tcW w:w="709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7.</w:t>
            </w:r>
          </w:p>
        </w:tc>
        <w:tc>
          <w:tcPr>
            <w:tcW w:w="2693" w:type="dxa"/>
          </w:tcPr>
          <w:p w:rsidR="00D6439E" w:rsidRPr="00F80EDE" w:rsidRDefault="00D6439E" w:rsidP="0070639D">
            <w:pPr>
              <w:rPr>
                <w:sz w:val="24"/>
              </w:rPr>
            </w:pPr>
            <w:r w:rsidRPr="00F80EDE">
              <w:rPr>
                <w:sz w:val="24"/>
              </w:rPr>
              <w:t>Balance Carried forward</w:t>
            </w:r>
          </w:p>
        </w:tc>
        <w:tc>
          <w:tcPr>
            <w:tcW w:w="1134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41,590</w:t>
            </w:r>
          </w:p>
        </w:tc>
        <w:tc>
          <w:tcPr>
            <w:tcW w:w="1276" w:type="dxa"/>
          </w:tcPr>
          <w:p w:rsidR="00D6439E" w:rsidRPr="00F80EDE" w:rsidRDefault="00D6439E" w:rsidP="00D6439E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45,932</w:t>
            </w:r>
          </w:p>
        </w:tc>
        <w:tc>
          <w:tcPr>
            <w:tcW w:w="1276" w:type="dxa"/>
          </w:tcPr>
          <w:p w:rsidR="00B2283A" w:rsidRPr="00F80EDE" w:rsidRDefault="00B2283A" w:rsidP="00B2283A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4,342</w:t>
            </w:r>
          </w:p>
        </w:tc>
        <w:tc>
          <w:tcPr>
            <w:tcW w:w="2694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Comment 5</w:t>
            </w:r>
          </w:p>
        </w:tc>
      </w:tr>
      <w:tr w:rsidR="00F80EDE" w:rsidRPr="00F80EDE" w:rsidTr="00D6439E">
        <w:tc>
          <w:tcPr>
            <w:tcW w:w="709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8.</w:t>
            </w:r>
          </w:p>
        </w:tc>
        <w:tc>
          <w:tcPr>
            <w:tcW w:w="2693" w:type="dxa"/>
          </w:tcPr>
          <w:p w:rsidR="00D6439E" w:rsidRPr="00F80EDE" w:rsidRDefault="00D6439E" w:rsidP="0070639D">
            <w:pPr>
              <w:rPr>
                <w:sz w:val="24"/>
              </w:rPr>
            </w:pPr>
            <w:r w:rsidRPr="00F80EDE">
              <w:rPr>
                <w:sz w:val="24"/>
              </w:rPr>
              <w:t>Total cash &amp; short term investments</w:t>
            </w:r>
          </w:p>
        </w:tc>
        <w:tc>
          <w:tcPr>
            <w:tcW w:w="1134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38,409</w:t>
            </w:r>
          </w:p>
        </w:tc>
        <w:tc>
          <w:tcPr>
            <w:tcW w:w="1276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42,783</w:t>
            </w:r>
          </w:p>
        </w:tc>
        <w:tc>
          <w:tcPr>
            <w:tcW w:w="1276" w:type="dxa"/>
          </w:tcPr>
          <w:p w:rsidR="00D6439E" w:rsidRPr="00F80EDE" w:rsidRDefault="00B2283A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4,374</w:t>
            </w:r>
          </w:p>
        </w:tc>
        <w:tc>
          <w:tcPr>
            <w:tcW w:w="2694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Comment 6</w:t>
            </w:r>
          </w:p>
        </w:tc>
      </w:tr>
      <w:tr w:rsidR="00F80EDE" w:rsidRPr="00F80EDE" w:rsidTr="00D6439E">
        <w:tc>
          <w:tcPr>
            <w:tcW w:w="709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9.</w:t>
            </w:r>
          </w:p>
        </w:tc>
        <w:tc>
          <w:tcPr>
            <w:tcW w:w="2693" w:type="dxa"/>
          </w:tcPr>
          <w:p w:rsidR="00D6439E" w:rsidRPr="00F80EDE" w:rsidRDefault="00D6439E" w:rsidP="0070639D">
            <w:pPr>
              <w:rPr>
                <w:sz w:val="24"/>
              </w:rPr>
            </w:pPr>
            <w:r w:rsidRPr="00F80EDE">
              <w:rPr>
                <w:sz w:val="24"/>
              </w:rPr>
              <w:t>Total fixed assets</w:t>
            </w:r>
          </w:p>
        </w:tc>
        <w:tc>
          <w:tcPr>
            <w:tcW w:w="1134" w:type="dxa"/>
          </w:tcPr>
          <w:p w:rsidR="00D6439E" w:rsidRPr="00F80EDE" w:rsidRDefault="00D6439E" w:rsidP="00D6439E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508,695</w:t>
            </w:r>
          </w:p>
        </w:tc>
        <w:tc>
          <w:tcPr>
            <w:tcW w:w="1276" w:type="dxa"/>
          </w:tcPr>
          <w:p w:rsidR="00D6439E" w:rsidRPr="00F80EDE" w:rsidRDefault="00D6439E" w:rsidP="002506A2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52</w:t>
            </w:r>
            <w:r w:rsidR="002506A2" w:rsidRPr="00F80EDE">
              <w:rPr>
                <w:sz w:val="24"/>
              </w:rPr>
              <w:t>7838</w:t>
            </w:r>
          </w:p>
        </w:tc>
        <w:tc>
          <w:tcPr>
            <w:tcW w:w="1276" w:type="dxa"/>
          </w:tcPr>
          <w:p w:rsidR="00D6439E" w:rsidRPr="00F80EDE" w:rsidRDefault="00B2283A" w:rsidP="002506A2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1</w:t>
            </w:r>
            <w:r w:rsidR="002506A2" w:rsidRPr="00F80EDE">
              <w:rPr>
                <w:sz w:val="24"/>
              </w:rPr>
              <w:t>9,143</w:t>
            </w:r>
          </w:p>
        </w:tc>
        <w:tc>
          <w:tcPr>
            <w:tcW w:w="2694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Comment 7</w:t>
            </w:r>
          </w:p>
        </w:tc>
      </w:tr>
      <w:tr w:rsidR="00F80EDE" w:rsidRPr="00F80EDE" w:rsidTr="00D6439E">
        <w:tc>
          <w:tcPr>
            <w:tcW w:w="709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10.</w:t>
            </w:r>
          </w:p>
        </w:tc>
        <w:tc>
          <w:tcPr>
            <w:tcW w:w="2693" w:type="dxa"/>
          </w:tcPr>
          <w:p w:rsidR="00D6439E" w:rsidRPr="00F80EDE" w:rsidRDefault="00D6439E" w:rsidP="0070639D">
            <w:pPr>
              <w:rPr>
                <w:sz w:val="24"/>
              </w:rPr>
            </w:pPr>
            <w:r w:rsidRPr="00F80EDE">
              <w:rPr>
                <w:sz w:val="24"/>
              </w:rPr>
              <w:t>Total borrowings</w:t>
            </w:r>
          </w:p>
        </w:tc>
        <w:tc>
          <w:tcPr>
            <w:tcW w:w="1134" w:type="dxa"/>
          </w:tcPr>
          <w:p w:rsidR="00D6439E" w:rsidRPr="00F80EDE" w:rsidRDefault="00D6439E" w:rsidP="0070639D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NIL</w:t>
            </w:r>
          </w:p>
        </w:tc>
        <w:tc>
          <w:tcPr>
            <w:tcW w:w="1276" w:type="dxa"/>
          </w:tcPr>
          <w:p w:rsidR="00D6439E" w:rsidRPr="00F80EDE" w:rsidRDefault="00D6439E" w:rsidP="00D6439E">
            <w:pPr>
              <w:jc w:val="right"/>
              <w:rPr>
                <w:sz w:val="24"/>
              </w:rPr>
            </w:pPr>
            <w:r w:rsidRPr="00F80EDE">
              <w:rPr>
                <w:sz w:val="24"/>
              </w:rPr>
              <w:t>NIL</w:t>
            </w:r>
          </w:p>
        </w:tc>
        <w:tc>
          <w:tcPr>
            <w:tcW w:w="1276" w:type="dxa"/>
          </w:tcPr>
          <w:p w:rsidR="00D6439E" w:rsidRPr="00F80EDE" w:rsidRDefault="00D6439E" w:rsidP="0070639D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D6439E" w:rsidRPr="00F80EDE" w:rsidRDefault="00D6439E" w:rsidP="0070639D">
            <w:pPr>
              <w:rPr>
                <w:sz w:val="24"/>
              </w:rPr>
            </w:pPr>
          </w:p>
        </w:tc>
      </w:tr>
    </w:tbl>
    <w:p w:rsidR="00A33528" w:rsidRPr="00F80EDE" w:rsidRDefault="00A33528">
      <w:pPr>
        <w:rPr>
          <w:sz w:val="24"/>
        </w:rPr>
      </w:pPr>
      <w:r w:rsidRPr="00F80EDE">
        <w:rPr>
          <w:sz w:val="24"/>
        </w:rPr>
        <w:t>Amounts referred to below are approximate.</w:t>
      </w:r>
    </w:p>
    <w:p w:rsidR="00A33528" w:rsidRPr="00F80EDE" w:rsidRDefault="00A33528">
      <w:pPr>
        <w:rPr>
          <w:sz w:val="24"/>
        </w:rPr>
      </w:pPr>
    </w:p>
    <w:p w:rsidR="00F16013" w:rsidRPr="00F80EDE" w:rsidRDefault="00F16013" w:rsidP="0034285A">
      <w:pPr>
        <w:pStyle w:val="BodyText"/>
        <w:rPr>
          <w:b/>
          <w:u w:val="single"/>
        </w:rPr>
      </w:pPr>
      <w:r w:rsidRPr="00F80EDE">
        <w:rPr>
          <w:b/>
          <w:u w:val="single"/>
        </w:rPr>
        <w:t>Comment 1</w:t>
      </w:r>
    </w:p>
    <w:p w:rsidR="00995F9B" w:rsidRPr="00F80EDE" w:rsidRDefault="00B2283A" w:rsidP="0034285A">
      <w:pPr>
        <w:pStyle w:val="BodyText"/>
      </w:pPr>
      <w:r w:rsidRPr="00F80EDE">
        <w:t>I</w:t>
      </w:r>
      <w:r w:rsidR="00B115C6" w:rsidRPr="00F80EDE">
        <w:t xml:space="preserve">ncrease in precept </w:t>
      </w:r>
      <w:r w:rsidRPr="00F80EDE">
        <w:t xml:space="preserve">firstly to </w:t>
      </w:r>
      <w:r w:rsidR="00B115C6" w:rsidRPr="00F80EDE">
        <w:t xml:space="preserve">offset the </w:t>
      </w:r>
      <w:r w:rsidRPr="00F80EDE">
        <w:t xml:space="preserve">further </w:t>
      </w:r>
      <w:r w:rsidR="00B76EC5" w:rsidRPr="00F80EDE">
        <w:t xml:space="preserve">£932 </w:t>
      </w:r>
      <w:r w:rsidR="00B115C6" w:rsidRPr="00F80EDE">
        <w:t>reduction in Council Tax Support Grant</w:t>
      </w:r>
      <w:r w:rsidRPr="00F80EDE">
        <w:t>;</w:t>
      </w:r>
      <w:r w:rsidR="00B76EC5" w:rsidRPr="00F80EDE">
        <w:t xml:space="preserve"> plus minor adjustments to accommodate increase in regular maintenance costs</w:t>
      </w:r>
      <w:r w:rsidRPr="00F80EDE">
        <w:t xml:space="preserve"> and to accommodate devolution of work as a result of restructuring of County and District authorities into a Unitary </w:t>
      </w:r>
      <w:r w:rsidR="00F53A49" w:rsidRPr="00F80EDE">
        <w:t>authority</w:t>
      </w:r>
      <w:r w:rsidR="00B115C6" w:rsidRPr="00F80EDE">
        <w:t>.</w:t>
      </w:r>
      <w:r w:rsidR="00F53A49" w:rsidRPr="00F80EDE">
        <w:t xml:space="preserve"> To co</w:t>
      </w:r>
      <w:r w:rsidR="00B115C6" w:rsidRPr="00F80EDE">
        <w:t xml:space="preserve">nfirm - </w:t>
      </w:r>
      <w:r w:rsidR="0068124B" w:rsidRPr="00F80EDE">
        <w:t xml:space="preserve">Box 2 for </w:t>
      </w:r>
      <w:r w:rsidR="00B115C6" w:rsidRPr="00F80EDE">
        <w:t xml:space="preserve">both years includes </w:t>
      </w:r>
      <w:r w:rsidR="0068124B" w:rsidRPr="00F80EDE">
        <w:t>only the Precept</w:t>
      </w:r>
      <w:r w:rsidR="00B115C6" w:rsidRPr="00F80EDE">
        <w:t xml:space="preserve">. </w:t>
      </w:r>
      <w:r w:rsidR="0068124B" w:rsidRPr="00F80EDE">
        <w:t xml:space="preserve"> </w:t>
      </w:r>
    </w:p>
    <w:p w:rsidR="00B115C6" w:rsidRPr="00F80EDE" w:rsidRDefault="00B115C6" w:rsidP="0034285A">
      <w:pPr>
        <w:pStyle w:val="BodyText"/>
      </w:pPr>
    </w:p>
    <w:p w:rsidR="00BE7A45" w:rsidRPr="00F80EDE" w:rsidRDefault="00BE7A45" w:rsidP="0034285A">
      <w:pPr>
        <w:pStyle w:val="BodyText"/>
        <w:rPr>
          <w:b/>
          <w:u w:val="single"/>
        </w:rPr>
      </w:pPr>
      <w:r w:rsidRPr="00F80EDE">
        <w:rPr>
          <w:b/>
          <w:u w:val="single"/>
        </w:rPr>
        <w:t xml:space="preserve">Comment 2 </w:t>
      </w:r>
    </w:p>
    <w:p w:rsidR="00B76EC5" w:rsidRPr="00F80EDE" w:rsidRDefault="004F369C" w:rsidP="003923EF">
      <w:pPr>
        <w:pStyle w:val="BodyText"/>
      </w:pPr>
      <w:r w:rsidRPr="00F80EDE">
        <w:t xml:space="preserve">The difference is made up of </w:t>
      </w:r>
      <w:r w:rsidR="00F53A49" w:rsidRPr="00F80EDE">
        <w:t xml:space="preserve">a net </w:t>
      </w:r>
      <w:r w:rsidR="00C8284E" w:rsidRPr="00F80EDE">
        <w:t>£</w:t>
      </w:r>
      <w:r w:rsidR="00F53A49" w:rsidRPr="00F80EDE">
        <w:t>13</w:t>
      </w:r>
      <w:r w:rsidR="00C8284E" w:rsidRPr="00F80EDE">
        <w:t>,</w:t>
      </w:r>
      <w:r w:rsidR="00F53A49" w:rsidRPr="00F80EDE">
        <w:t xml:space="preserve">800 year on year increase in Community Infrastructure Levy from the District Council offset by </w:t>
      </w:r>
      <w:r w:rsidRPr="00F80EDE">
        <w:t xml:space="preserve">the £932 reduction in Council Tax Support Grant </w:t>
      </w:r>
      <w:r w:rsidR="00F53A49" w:rsidRPr="00F80EDE">
        <w:t xml:space="preserve">in 2017/18 </w:t>
      </w:r>
      <w:r w:rsidRPr="00F80EDE">
        <w:t xml:space="preserve">mentioned in comment 1 above, </w:t>
      </w:r>
      <w:r w:rsidR="00C8284E" w:rsidRPr="00F80EDE">
        <w:t xml:space="preserve">and </w:t>
      </w:r>
      <w:r w:rsidR="00F53A49" w:rsidRPr="00F80EDE">
        <w:t xml:space="preserve">a reduction in income from burials. </w:t>
      </w:r>
      <w:r w:rsidRPr="00F80EDE">
        <w:t xml:space="preserve"> </w:t>
      </w:r>
    </w:p>
    <w:p w:rsidR="00B76EC5" w:rsidRPr="00F80EDE" w:rsidRDefault="00B76EC5" w:rsidP="003923EF">
      <w:pPr>
        <w:pStyle w:val="BodyText"/>
      </w:pPr>
    </w:p>
    <w:p w:rsidR="00493501" w:rsidRPr="00F80EDE" w:rsidRDefault="00493501" w:rsidP="00493501">
      <w:pPr>
        <w:rPr>
          <w:b/>
          <w:sz w:val="24"/>
          <w:szCs w:val="24"/>
          <w:u w:val="single"/>
        </w:rPr>
      </w:pPr>
      <w:r w:rsidRPr="00F80EDE">
        <w:rPr>
          <w:b/>
          <w:sz w:val="24"/>
          <w:szCs w:val="24"/>
          <w:u w:val="single"/>
        </w:rPr>
        <w:t xml:space="preserve">Comment </w:t>
      </w:r>
      <w:r w:rsidR="00183021" w:rsidRPr="00F80EDE">
        <w:rPr>
          <w:b/>
          <w:sz w:val="24"/>
          <w:szCs w:val="24"/>
          <w:u w:val="single"/>
        </w:rPr>
        <w:t>3</w:t>
      </w:r>
    </w:p>
    <w:p w:rsidR="00DD2BE0" w:rsidRPr="00F80EDE" w:rsidRDefault="004F369C" w:rsidP="00493501">
      <w:pPr>
        <w:rPr>
          <w:sz w:val="24"/>
          <w:szCs w:val="24"/>
        </w:rPr>
      </w:pPr>
      <w:r w:rsidRPr="00F80EDE">
        <w:rPr>
          <w:sz w:val="24"/>
          <w:szCs w:val="24"/>
        </w:rPr>
        <w:t xml:space="preserve">In August of 2016 the Council resolved that the Parish Clerk should join the Local Government Pension Scheme operated by Dorset County Council, </w:t>
      </w:r>
      <w:r w:rsidR="00FF30F5">
        <w:rPr>
          <w:sz w:val="24"/>
          <w:szCs w:val="24"/>
        </w:rPr>
        <w:t xml:space="preserve">contributions for only 8 months of 2016/17 c/w 12 months for 2017/18 as well as an increase in employer contributions to the scheme for the whole of 2017/18 amounted to an increase of £2154. PAYE / ENI payments in 2017/18 were </w:t>
      </w:r>
      <w:r w:rsidR="00DA2436">
        <w:rPr>
          <w:sz w:val="24"/>
          <w:szCs w:val="24"/>
        </w:rPr>
        <w:t xml:space="preserve">£830 more than 2016/17.  </w:t>
      </w:r>
    </w:p>
    <w:p w:rsidR="00C8284E" w:rsidRPr="00F80EDE" w:rsidRDefault="00C8284E" w:rsidP="00493501">
      <w:pPr>
        <w:rPr>
          <w:sz w:val="24"/>
          <w:szCs w:val="24"/>
        </w:rPr>
      </w:pPr>
    </w:p>
    <w:p w:rsidR="00983956" w:rsidRPr="00F80EDE" w:rsidRDefault="00983956" w:rsidP="00493501">
      <w:pPr>
        <w:rPr>
          <w:b/>
          <w:sz w:val="24"/>
          <w:szCs w:val="24"/>
          <w:u w:val="single"/>
        </w:rPr>
      </w:pPr>
      <w:r w:rsidRPr="00F80EDE">
        <w:rPr>
          <w:b/>
          <w:sz w:val="24"/>
          <w:szCs w:val="24"/>
          <w:u w:val="single"/>
        </w:rPr>
        <w:t xml:space="preserve">Comment 4 </w:t>
      </w:r>
    </w:p>
    <w:p w:rsidR="00874DA0" w:rsidRPr="00F80EDE" w:rsidRDefault="00874DA0" w:rsidP="00977332">
      <w:pPr>
        <w:pStyle w:val="BodyText"/>
      </w:pPr>
      <w:r w:rsidRPr="00F80EDE">
        <w:t>There were the following exceptional expenditures in 2016/17:</w:t>
      </w:r>
    </w:p>
    <w:p w:rsidR="00874DA0" w:rsidRPr="00F80EDE" w:rsidRDefault="00874DA0" w:rsidP="00125CE5">
      <w:pPr>
        <w:pStyle w:val="BodyText"/>
        <w:numPr>
          <w:ilvl w:val="0"/>
          <w:numId w:val="8"/>
        </w:numPr>
      </w:pPr>
      <w:r w:rsidRPr="00F80EDE">
        <w:t>Refurbishment of Village Hall = £24700</w:t>
      </w:r>
    </w:p>
    <w:p w:rsidR="00874DA0" w:rsidRPr="00F80EDE" w:rsidRDefault="00874DA0" w:rsidP="00125CE5">
      <w:pPr>
        <w:pStyle w:val="BodyText"/>
        <w:numPr>
          <w:ilvl w:val="0"/>
          <w:numId w:val="8"/>
        </w:numPr>
      </w:pPr>
      <w:r w:rsidRPr="00F80EDE">
        <w:t>Installation of high level swing gate security barriers at the Recreation Ground = £5100</w:t>
      </w:r>
    </w:p>
    <w:p w:rsidR="00874DA0" w:rsidRPr="00F80EDE" w:rsidRDefault="00874DA0" w:rsidP="00125CE5">
      <w:pPr>
        <w:pStyle w:val="BodyText"/>
        <w:numPr>
          <w:ilvl w:val="0"/>
          <w:numId w:val="8"/>
        </w:numPr>
      </w:pPr>
      <w:r w:rsidRPr="00F80EDE">
        <w:t>Replacement of the Huck “swinger” play equipment at Recreation Ground = £3033</w:t>
      </w:r>
    </w:p>
    <w:p w:rsidR="00874DA0" w:rsidRPr="00F80EDE" w:rsidRDefault="00874DA0" w:rsidP="00125CE5">
      <w:pPr>
        <w:pStyle w:val="BodyText"/>
        <w:numPr>
          <w:ilvl w:val="0"/>
          <w:numId w:val="8"/>
        </w:numPr>
      </w:pPr>
      <w:r w:rsidRPr="00F80EDE">
        <w:t xml:space="preserve">Addition to the Council’s long term investment with Prudential = £43500 </w:t>
      </w:r>
    </w:p>
    <w:p w:rsidR="00874DA0" w:rsidRPr="00F80EDE" w:rsidRDefault="00874DA0" w:rsidP="00977332">
      <w:pPr>
        <w:pStyle w:val="BodyText"/>
      </w:pPr>
      <w:r w:rsidRPr="00F80EDE">
        <w:t>The</w:t>
      </w:r>
      <w:r w:rsidR="008A7886" w:rsidRPr="00F80EDE">
        <w:t>se amount to a total of £76,333.</w:t>
      </w:r>
      <w:r w:rsidR="00F738D3" w:rsidRPr="00F80EDE">
        <w:t xml:space="preserve"> When stripped out of the 2016/17 total of £113,077 for comparison purposes this leaves </w:t>
      </w:r>
      <w:r w:rsidR="00F738D3" w:rsidRPr="00F80EDE">
        <w:rPr>
          <w:u w:val="single"/>
        </w:rPr>
        <w:t>£36,744</w:t>
      </w:r>
      <w:r w:rsidR="00F738D3" w:rsidRPr="00F80EDE">
        <w:t xml:space="preserve">  </w:t>
      </w:r>
      <w:r w:rsidR="008A7886" w:rsidRPr="00F80EDE">
        <w:t xml:space="preserve"> </w:t>
      </w:r>
    </w:p>
    <w:p w:rsidR="00626B51" w:rsidRPr="00F80EDE" w:rsidRDefault="00626B51" w:rsidP="00977332">
      <w:pPr>
        <w:pStyle w:val="BodyText"/>
      </w:pPr>
    </w:p>
    <w:p w:rsidR="00484B00" w:rsidRPr="00F80EDE" w:rsidRDefault="00484B00" w:rsidP="00977332">
      <w:pPr>
        <w:pStyle w:val="BodyText"/>
      </w:pPr>
      <w:r w:rsidRPr="00F80EDE">
        <w:t>There were the following exceptional payments in 2017/18:</w:t>
      </w:r>
    </w:p>
    <w:p w:rsidR="00484B00" w:rsidRPr="00F80EDE" w:rsidRDefault="00484B00" w:rsidP="00484B00">
      <w:pPr>
        <w:pStyle w:val="BodyText"/>
        <w:numPr>
          <w:ilvl w:val="0"/>
          <w:numId w:val="9"/>
        </w:numPr>
      </w:pPr>
      <w:r w:rsidRPr="00F80EDE">
        <w:t xml:space="preserve">Addition to the Council’s long term investment with Prudential = £13800  </w:t>
      </w:r>
    </w:p>
    <w:p w:rsidR="00484B00" w:rsidRPr="00F80EDE" w:rsidRDefault="00484B00" w:rsidP="00484B00">
      <w:pPr>
        <w:pStyle w:val="BodyText"/>
        <w:numPr>
          <w:ilvl w:val="0"/>
          <w:numId w:val="9"/>
        </w:numPr>
      </w:pPr>
      <w:r w:rsidRPr="00F80EDE">
        <w:t>Rocket Park Play Area new fence and gates = £4</w:t>
      </w:r>
      <w:r w:rsidR="002506A2" w:rsidRPr="00F80EDE">
        <w:t>006</w:t>
      </w:r>
      <w:r w:rsidRPr="00F80EDE">
        <w:t xml:space="preserve"> </w:t>
      </w:r>
    </w:p>
    <w:p w:rsidR="0080427D" w:rsidRDefault="00611A11" w:rsidP="00484B00">
      <w:pPr>
        <w:pStyle w:val="BodyText"/>
        <w:numPr>
          <w:ilvl w:val="0"/>
          <w:numId w:val="9"/>
        </w:numPr>
      </w:pPr>
      <w:r w:rsidRPr="00F80EDE">
        <w:t xml:space="preserve">Rocket Park play area fence enhancement = </w:t>
      </w:r>
      <w:r w:rsidR="00484B00" w:rsidRPr="00F80EDE">
        <w:t xml:space="preserve">£1325 </w:t>
      </w:r>
    </w:p>
    <w:p w:rsidR="0080427D" w:rsidRDefault="0080427D" w:rsidP="00484B00">
      <w:pPr>
        <w:pStyle w:val="BodyText"/>
        <w:numPr>
          <w:ilvl w:val="0"/>
          <w:numId w:val="9"/>
        </w:numPr>
      </w:pPr>
      <w:r>
        <w:lastRenderedPageBreak/>
        <w:t>Tree &amp; hedge removal at Library Walk = £1600</w:t>
      </w:r>
    </w:p>
    <w:p w:rsidR="00484B00" w:rsidRPr="00F80EDE" w:rsidRDefault="0080427D" w:rsidP="00484B00">
      <w:pPr>
        <w:pStyle w:val="BodyText"/>
        <w:numPr>
          <w:ilvl w:val="0"/>
          <w:numId w:val="9"/>
        </w:numPr>
      </w:pPr>
      <w:r>
        <w:t>Purchase of new printer / scanner / copier £211</w:t>
      </w:r>
      <w:r w:rsidR="00484B00" w:rsidRPr="00F80EDE">
        <w:t xml:space="preserve"> </w:t>
      </w:r>
    </w:p>
    <w:p w:rsidR="00F738D3" w:rsidRPr="00F80EDE" w:rsidRDefault="00611A11" w:rsidP="00611A11">
      <w:pPr>
        <w:pStyle w:val="BodyText"/>
        <w:ind w:left="360"/>
      </w:pPr>
      <w:r w:rsidRPr="00F80EDE">
        <w:t>These amount to a total of £</w:t>
      </w:r>
      <w:r w:rsidR="0080427D">
        <w:t>20,942</w:t>
      </w:r>
      <w:r w:rsidR="008D6FD7" w:rsidRPr="00F80EDE">
        <w:t xml:space="preserve">. </w:t>
      </w:r>
      <w:r w:rsidR="00F738D3" w:rsidRPr="00F80EDE">
        <w:t xml:space="preserve">When stripped out of the total for 2017/18 for comparison purposes this leaves </w:t>
      </w:r>
      <w:r w:rsidR="00F738D3" w:rsidRPr="00F80EDE">
        <w:rPr>
          <w:u w:val="single"/>
        </w:rPr>
        <w:t>£4</w:t>
      </w:r>
      <w:r w:rsidR="0080427D">
        <w:rPr>
          <w:u w:val="single"/>
        </w:rPr>
        <w:t>1,554</w:t>
      </w:r>
      <w:r w:rsidR="00F738D3" w:rsidRPr="00F80EDE">
        <w:t xml:space="preserve"> </w:t>
      </w:r>
    </w:p>
    <w:p w:rsidR="00F738D3" w:rsidRPr="00F80EDE" w:rsidRDefault="00F738D3" w:rsidP="00611A11">
      <w:pPr>
        <w:pStyle w:val="BodyText"/>
        <w:ind w:left="360"/>
      </w:pPr>
      <w:r w:rsidRPr="00F80EDE">
        <w:t>36,744 – 4</w:t>
      </w:r>
      <w:r w:rsidR="0080427D">
        <w:t>1</w:t>
      </w:r>
      <w:r w:rsidR="00F80EDE">
        <w:t>,</w:t>
      </w:r>
      <w:r w:rsidR="0080427D">
        <w:t>554</w:t>
      </w:r>
      <w:r w:rsidRPr="00F80EDE">
        <w:t xml:space="preserve"> = a £</w:t>
      </w:r>
      <w:r w:rsidR="0080427D">
        <w:t>4,810</w:t>
      </w:r>
      <w:r w:rsidRPr="00F80EDE">
        <w:t xml:space="preserve"> increase in underlying expenditure in 2017/18 compared with 2016/17. </w:t>
      </w:r>
    </w:p>
    <w:p w:rsidR="00611A11" w:rsidRPr="00F80EDE" w:rsidRDefault="00611A11" w:rsidP="00611A11">
      <w:pPr>
        <w:pStyle w:val="BodyText"/>
        <w:ind w:left="360"/>
      </w:pPr>
    </w:p>
    <w:p w:rsidR="00626B51" w:rsidRPr="00F80EDE" w:rsidRDefault="00611A11" w:rsidP="00611A11">
      <w:pPr>
        <w:pStyle w:val="BodyText"/>
        <w:ind w:left="360"/>
      </w:pPr>
      <w:r w:rsidRPr="00F80EDE">
        <w:t>In</w:t>
      </w:r>
      <w:r w:rsidR="00F738D3" w:rsidRPr="00F80EDE">
        <w:t xml:space="preserve"> 2017/18 </w:t>
      </w:r>
      <w:r w:rsidRPr="00F80EDE">
        <w:t xml:space="preserve">there were </w:t>
      </w:r>
      <w:r w:rsidR="001C1DC4" w:rsidRPr="00F80EDE">
        <w:t xml:space="preserve">increases </w:t>
      </w:r>
      <w:r w:rsidR="00626B51" w:rsidRPr="00F80EDE">
        <w:t xml:space="preserve">in regular costs </w:t>
      </w:r>
      <w:r w:rsidR="0080427D">
        <w:t xml:space="preserve">totalling £4720 </w:t>
      </w:r>
      <w:r w:rsidR="00626B51" w:rsidRPr="00F80EDE">
        <w:t>compared to 201</w:t>
      </w:r>
      <w:r w:rsidR="001C1DC4" w:rsidRPr="00F80EDE">
        <w:t>6</w:t>
      </w:r>
      <w:r w:rsidR="00626B51" w:rsidRPr="00F80EDE">
        <w:t>/1</w:t>
      </w:r>
      <w:r w:rsidR="001C1DC4" w:rsidRPr="00F80EDE">
        <w:t>7</w:t>
      </w:r>
      <w:r w:rsidR="00626B51" w:rsidRPr="00F80EDE">
        <w:t xml:space="preserve"> </w:t>
      </w:r>
      <w:r w:rsidR="0080427D">
        <w:t xml:space="preserve">– made up as </w:t>
      </w:r>
      <w:r w:rsidR="00626B51" w:rsidRPr="00F80EDE">
        <w:t>follows:</w:t>
      </w:r>
    </w:p>
    <w:p w:rsidR="001C1DC4" w:rsidRPr="00F80EDE" w:rsidRDefault="001C1DC4" w:rsidP="006641AE">
      <w:pPr>
        <w:pStyle w:val="BodyText"/>
        <w:numPr>
          <w:ilvl w:val="0"/>
          <w:numId w:val="6"/>
        </w:numPr>
      </w:pPr>
      <w:r w:rsidRPr="00F80EDE">
        <w:t xml:space="preserve">£500 more awarded in grants to local organisations in 2017/18 than in 2016/17. </w:t>
      </w:r>
    </w:p>
    <w:p w:rsidR="00626B51" w:rsidRPr="00F80EDE" w:rsidRDefault="00C13DE1" w:rsidP="006641AE">
      <w:pPr>
        <w:pStyle w:val="BodyText"/>
        <w:numPr>
          <w:ilvl w:val="0"/>
          <w:numId w:val="6"/>
        </w:numPr>
      </w:pPr>
      <w:r w:rsidRPr="00F80EDE">
        <w:t xml:space="preserve">£600 </w:t>
      </w:r>
      <w:r w:rsidR="001C1DC4" w:rsidRPr="00F80EDE">
        <w:t xml:space="preserve">more </w:t>
      </w:r>
      <w:r w:rsidRPr="00F80EDE">
        <w:t xml:space="preserve">expenditure due to </w:t>
      </w:r>
      <w:r w:rsidR="00626B51" w:rsidRPr="00F80EDE">
        <w:t xml:space="preserve">publication of </w:t>
      </w:r>
      <w:r w:rsidR="001C1DC4" w:rsidRPr="00F80EDE">
        <w:t xml:space="preserve">two more </w:t>
      </w:r>
      <w:r w:rsidRPr="00F80EDE">
        <w:t xml:space="preserve">editions </w:t>
      </w:r>
      <w:r w:rsidR="008876B2">
        <w:t>of the Lytchett Link newsletter.</w:t>
      </w:r>
      <w:r w:rsidRPr="00F80EDE">
        <w:t xml:space="preserve"> </w:t>
      </w:r>
    </w:p>
    <w:p w:rsidR="00F738D3" w:rsidRPr="00F80EDE" w:rsidRDefault="00626B51" w:rsidP="00626B51">
      <w:pPr>
        <w:pStyle w:val="BodyText"/>
        <w:numPr>
          <w:ilvl w:val="0"/>
          <w:numId w:val="6"/>
        </w:numPr>
      </w:pPr>
      <w:r w:rsidRPr="00F80EDE">
        <w:t>£4</w:t>
      </w:r>
      <w:r w:rsidR="001C1DC4" w:rsidRPr="00F80EDE">
        <w:t xml:space="preserve">00 increase in </w:t>
      </w:r>
      <w:r w:rsidR="008876B2">
        <w:t xml:space="preserve">expenditure on </w:t>
      </w:r>
      <w:r w:rsidR="001C1DC4" w:rsidRPr="00F80EDE">
        <w:t xml:space="preserve">the </w:t>
      </w:r>
      <w:r w:rsidRPr="00F80EDE">
        <w:t>Council</w:t>
      </w:r>
      <w:r w:rsidR="007312BC">
        <w:t>’</w:t>
      </w:r>
      <w:r w:rsidRPr="00F80EDE">
        <w:t xml:space="preserve">s website. </w:t>
      </w:r>
    </w:p>
    <w:p w:rsidR="00F738D3" w:rsidRDefault="0080427D" w:rsidP="00626B51">
      <w:pPr>
        <w:pStyle w:val="BodyText"/>
        <w:numPr>
          <w:ilvl w:val="0"/>
          <w:numId w:val="6"/>
        </w:numPr>
      </w:pPr>
      <w:r>
        <w:t>£1000 increase in expenditure on premises hire.</w:t>
      </w:r>
    </w:p>
    <w:p w:rsidR="0080427D" w:rsidRDefault="0080427D" w:rsidP="00626B51">
      <w:pPr>
        <w:pStyle w:val="BodyText"/>
        <w:numPr>
          <w:ilvl w:val="0"/>
          <w:numId w:val="6"/>
        </w:numPr>
      </w:pPr>
      <w:r>
        <w:t xml:space="preserve">£1347 increase in expenditure on maintenance of the Foxhills Open Space.  </w:t>
      </w:r>
    </w:p>
    <w:p w:rsidR="0080427D" w:rsidRDefault="0080427D" w:rsidP="00626B51">
      <w:pPr>
        <w:pStyle w:val="BodyText"/>
        <w:numPr>
          <w:ilvl w:val="0"/>
          <w:numId w:val="6"/>
        </w:numPr>
      </w:pPr>
      <w:r>
        <w:t>£400 increase in expenditure on training for officers and members.</w:t>
      </w:r>
    </w:p>
    <w:p w:rsidR="0080427D" w:rsidRPr="00F80EDE" w:rsidRDefault="0080427D" w:rsidP="00626B51">
      <w:pPr>
        <w:pStyle w:val="BodyText"/>
        <w:numPr>
          <w:ilvl w:val="0"/>
          <w:numId w:val="6"/>
        </w:numPr>
      </w:pPr>
      <w:r>
        <w:t xml:space="preserve">£472 increase in expenditure on maintenance of other open spaces. </w:t>
      </w:r>
    </w:p>
    <w:p w:rsidR="00874DA0" w:rsidRPr="00F80EDE" w:rsidRDefault="00874DA0" w:rsidP="00977332">
      <w:pPr>
        <w:pStyle w:val="BodyText"/>
      </w:pPr>
      <w:r w:rsidRPr="00F80EDE">
        <w:t xml:space="preserve">   </w:t>
      </w:r>
    </w:p>
    <w:p w:rsidR="008503F9" w:rsidRPr="00F80EDE" w:rsidRDefault="008503F9" w:rsidP="00DC2462">
      <w:pPr>
        <w:pStyle w:val="BodyText"/>
        <w:rPr>
          <w:b/>
          <w:u w:val="single"/>
        </w:rPr>
      </w:pPr>
      <w:r w:rsidRPr="00F80EDE">
        <w:rPr>
          <w:b/>
          <w:u w:val="single"/>
        </w:rPr>
        <w:t xml:space="preserve">Comment </w:t>
      </w:r>
      <w:r w:rsidR="001A4D4A" w:rsidRPr="00F80EDE">
        <w:rPr>
          <w:b/>
          <w:u w:val="single"/>
        </w:rPr>
        <w:t>5</w:t>
      </w:r>
    </w:p>
    <w:p w:rsidR="00823DAB" w:rsidRPr="00F80EDE" w:rsidRDefault="00823DAB" w:rsidP="00DC2462">
      <w:pPr>
        <w:pStyle w:val="BodyText"/>
      </w:pPr>
      <w:r w:rsidRPr="00F80EDE">
        <w:t>Influenced by the e</w:t>
      </w:r>
      <w:r w:rsidR="00BF0F01" w:rsidRPr="00F80EDE">
        <w:t xml:space="preserve">ntries for each year </w:t>
      </w:r>
      <w:r w:rsidRPr="00F80EDE">
        <w:t xml:space="preserve">in boxes </w:t>
      </w:r>
      <w:r w:rsidR="00D5192E" w:rsidRPr="00F80EDE">
        <w:t xml:space="preserve">1, 2, </w:t>
      </w:r>
      <w:r w:rsidRPr="00F80EDE">
        <w:t>3 and 6</w:t>
      </w:r>
      <w:r w:rsidR="00D5192E" w:rsidRPr="00F80EDE">
        <w:t xml:space="preserve">. </w:t>
      </w:r>
      <w:r w:rsidRPr="00F80EDE">
        <w:t xml:space="preserve">I have separately commented on </w:t>
      </w:r>
      <w:r w:rsidR="00D5192E" w:rsidRPr="00F80EDE">
        <w:t xml:space="preserve">boxes 3 and 6 </w:t>
      </w:r>
      <w:r w:rsidRPr="00F80EDE">
        <w:t>under comments 1</w:t>
      </w:r>
      <w:r w:rsidR="00C536A7" w:rsidRPr="00F80EDE">
        <w:t>-</w:t>
      </w:r>
      <w:r w:rsidR="00183021" w:rsidRPr="00F80EDE">
        <w:t>3</w:t>
      </w:r>
      <w:r w:rsidRPr="00F80EDE">
        <w:t xml:space="preserve"> above; i.e. (1+2+3) – (4+5+6). </w:t>
      </w:r>
    </w:p>
    <w:p w:rsidR="0015288B" w:rsidRPr="000C5340" w:rsidRDefault="0015288B" w:rsidP="00DC2462">
      <w:pPr>
        <w:pStyle w:val="BodyText"/>
      </w:pPr>
    </w:p>
    <w:p w:rsidR="001C2F7A" w:rsidRPr="000C5340" w:rsidRDefault="0015288B" w:rsidP="00DC2462">
      <w:pPr>
        <w:pStyle w:val="BodyText"/>
        <w:rPr>
          <w:b/>
          <w:u w:val="single"/>
        </w:rPr>
      </w:pPr>
      <w:r w:rsidRPr="000C5340">
        <w:rPr>
          <w:b/>
          <w:u w:val="single"/>
        </w:rPr>
        <w:t xml:space="preserve">Comment </w:t>
      </w:r>
      <w:r w:rsidR="001A4D4A" w:rsidRPr="000C5340">
        <w:rPr>
          <w:b/>
          <w:u w:val="single"/>
        </w:rPr>
        <w:t>6</w:t>
      </w:r>
      <w:r w:rsidR="001C2F7A" w:rsidRPr="000C5340">
        <w:rPr>
          <w:b/>
          <w:u w:val="single"/>
        </w:rPr>
        <w:t xml:space="preserve"> </w:t>
      </w:r>
    </w:p>
    <w:p w:rsidR="008876B2" w:rsidRDefault="00214F43" w:rsidP="006A73E8">
      <w:pPr>
        <w:pStyle w:val="BodyText"/>
      </w:pPr>
      <w:r w:rsidRPr="000C5340">
        <w:t xml:space="preserve">The </w:t>
      </w:r>
      <w:r w:rsidR="00626B51" w:rsidRPr="000C5340">
        <w:t xml:space="preserve">overall </w:t>
      </w:r>
      <w:r w:rsidR="008D6FD7">
        <w:t xml:space="preserve">increase </w:t>
      </w:r>
      <w:r w:rsidR="001A4D4A" w:rsidRPr="000C5340">
        <w:t>in cash holdings of £</w:t>
      </w:r>
      <w:r w:rsidR="008D6FD7">
        <w:t>4374 is affected by</w:t>
      </w:r>
      <w:r w:rsidR="008876B2">
        <w:t xml:space="preserve"> the receipts of Community Infrastructure Levy as mentioned in comment 2 above, which has not yet been spent on suitable projects. </w:t>
      </w:r>
    </w:p>
    <w:p w:rsidR="008876B2" w:rsidRDefault="008876B2" w:rsidP="006A73E8">
      <w:pPr>
        <w:pStyle w:val="BodyText"/>
      </w:pPr>
    </w:p>
    <w:p w:rsidR="007C4AF9" w:rsidRPr="000C5340" w:rsidRDefault="007C4AF9" w:rsidP="006A73E8">
      <w:pPr>
        <w:pStyle w:val="BodyText"/>
        <w:rPr>
          <w:b/>
          <w:u w:val="single"/>
        </w:rPr>
      </w:pPr>
      <w:r w:rsidRPr="000C5340">
        <w:rPr>
          <w:b/>
          <w:u w:val="single"/>
        </w:rPr>
        <w:t>Comment</w:t>
      </w:r>
      <w:r w:rsidR="00705C62" w:rsidRPr="000C5340">
        <w:rPr>
          <w:b/>
          <w:u w:val="single"/>
        </w:rPr>
        <w:t xml:space="preserve"> 7</w:t>
      </w:r>
      <w:r w:rsidRPr="000C5340">
        <w:rPr>
          <w:b/>
          <w:u w:val="single"/>
        </w:rPr>
        <w:t xml:space="preserve"> </w:t>
      </w:r>
    </w:p>
    <w:p w:rsidR="007C4AF9" w:rsidRDefault="00962703" w:rsidP="006A73E8">
      <w:pPr>
        <w:pStyle w:val="BodyText"/>
      </w:pPr>
      <w:r w:rsidRPr="000C5340">
        <w:t>A</w:t>
      </w:r>
      <w:r w:rsidR="00705C62" w:rsidRPr="000C5340">
        <w:t>s advised by Emma Prince</w:t>
      </w:r>
      <w:r w:rsidRPr="000C5340">
        <w:t xml:space="preserve"> </w:t>
      </w:r>
      <w:r w:rsidR="00F738D3">
        <w:t xml:space="preserve">of BDO Stoy Hayward (previous external auditors) </w:t>
      </w:r>
      <w:r w:rsidRPr="000C5340">
        <w:t>in 2015</w:t>
      </w:r>
      <w:r w:rsidR="00705C62" w:rsidRPr="000C5340">
        <w:t xml:space="preserve">, the Council has included the cash value here of its long term investment with Prudential, as referred to in comments 4 and 6 above. </w:t>
      </w:r>
      <w:r w:rsidR="00F738D3">
        <w:t xml:space="preserve">Thus </w:t>
      </w:r>
      <w:r w:rsidR="000C5340" w:rsidRPr="000C5340">
        <w:t>£</w:t>
      </w:r>
      <w:r w:rsidR="00F738D3">
        <w:t xml:space="preserve">13800 of the increase </w:t>
      </w:r>
      <w:r w:rsidRPr="000C5340">
        <w:t xml:space="preserve">is </w:t>
      </w:r>
      <w:r w:rsidR="000C5340" w:rsidRPr="000C5340">
        <w:t>due to the top-up of that investment.</w:t>
      </w:r>
      <w:r w:rsidR="000C5340">
        <w:t xml:space="preserve"> </w:t>
      </w:r>
      <w:r w:rsidR="00246448">
        <w:t>In addition the fixed assets have increased by the following expenditures:</w:t>
      </w:r>
    </w:p>
    <w:p w:rsidR="00246448" w:rsidRDefault="00246448" w:rsidP="00246448">
      <w:pPr>
        <w:pStyle w:val="BodyText"/>
      </w:pPr>
      <w:r>
        <w:t>1.</w:t>
      </w:r>
      <w:r>
        <w:tab/>
        <w:t>Rocket Park Play Area new fence and gates = £4</w:t>
      </w:r>
      <w:r w:rsidR="002506A2">
        <w:t>006</w:t>
      </w:r>
      <w:r>
        <w:t xml:space="preserve"> (as detailed in comment 4 above)</w:t>
      </w:r>
    </w:p>
    <w:p w:rsidR="00246448" w:rsidRDefault="00246448" w:rsidP="00246448">
      <w:pPr>
        <w:pStyle w:val="BodyText"/>
      </w:pPr>
      <w:r>
        <w:t>2.</w:t>
      </w:r>
      <w:r>
        <w:tab/>
        <w:t>Rocket Park play area fence enhancement = £1325 (as detailed in comment 4 above)</w:t>
      </w:r>
    </w:p>
    <w:p w:rsidR="002506A2" w:rsidRDefault="002506A2" w:rsidP="002506A2">
      <w:pPr>
        <w:pStyle w:val="BodyText"/>
      </w:pPr>
      <w:r>
        <w:t xml:space="preserve">3. </w:t>
      </w:r>
      <w:r>
        <w:tab/>
      </w:r>
      <w:r w:rsidR="007312BC">
        <w:t>New printer / scanner / copier = £211, replacing old (scrapped) printer = -£200; therefore a net increase of £11</w:t>
      </w:r>
      <w:r w:rsidR="00B20DAF">
        <w:t>.</w:t>
      </w:r>
      <w:r w:rsidR="007312BC">
        <w:t xml:space="preserve">  </w:t>
      </w:r>
    </w:p>
    <w:p w:rsidR="002506A2" w:rsidRDefault="002506A2" w:rsidP="002506A2">
      <w:pPr>
        <w:pStyle w:val="BodyText"/>
      </w:pPr>
      <w:r>
        <w:t>4</w:t>
      </w:r>
      <w:r w:rsidR="007312BC">
        <w:t xml:space="preserve">. </w:t>
      </w:r>
      <w:r w:rsidR="007312BC">
        <w:tab/>
        <w:t>Purchase of telephone kiosk form BT for £1</w:t>
      </w:r>
    </w:p>
    <w:p w:rsidR="002506A2" w:rsidRDefault="002506A2" w:rsidP="00246448">
      <w:pPr>
        <w:pStyle w:val="BodyText"/>
      </w:pPr>
      <w:r>
        <w:t>Totalling</w:t>
      </w:r>
      <w:r w:rsidR="007312BC">
        <w:t xml:space="preserve"> £19,143</w:t>
      </w:r>
      <w:r w:rsidR="00105698">
        <w:t xml:space="preserve">. </w:t>
      </w:r>
      <w:r>
        <w:t xml:space="preserve"> </w:t>
      </w:r>
    </w:p>
    <w:p w:rsidR="001D7484" w:rsidRPr="00910DED" w:rsidRDefault="001D7484" w:rsidP="001D7484">
      <w:pPr>
        <w:pStyle w:val="BodyText"/>
      </w:pPr>
    </w:p>
    <w:p w:rsidR="00B47353" w:rsidRPr="00910DED" w:rsidRDefault="00B47353" w:rsidP="00B47353">
      <w:pPr>
        <w:pStyle w:val="BodyText"/>
        <w:rPr>
          <w:b/>
          <w:u w:val="single"/>
        </w:rPr>
      </w:pPr>
      <w:r w:rsidRPr="00910DED">
        <w:rPr>
          <w:b/>
          <w:u w:val="single"/>
        </w:rPr>
        <w:t>Difference between box 7 and box 8</w:t>
      </w:r>
    </w:p>
    <w:p w:rsidR="00705C62" w:rsidRPr="00910DED" w:rsidRDefault="002365C3" w:rsidP="00705C62">
      <w:pPr>
        <w:pStyle w:val="BodyText"/>
      </w:pPr>
      <w:r w:rsidRPr="00910DED">
        <w:t xml:space="preserve">Bank Balances, Box 8 figure </w:t>
      </w:r>
      <w:r w:rsidR="00446C4F" w:rsidRPr="00910DED">
        <w:tab/>
      </w:r>
      <w:r w:rsidR="00705C62" w:rsidRPr="00910DED">
        <w:t xml:space="preserve"> </w:t>
      </w:r>
      <w:r w:rsidR="00DE0042" w:rsidRPr="00910DED">
        <w:t xml:space="preserve"> </w:t>
      </w:r>
      <w:r w:rsidRPr="00910DED">
        <w:tab/>
      </w:r>
      <w:r w:rsidRPr="00910DED">
        <w:tab/>
      </w:r>
      <w:r w:rsidR="00F80EDE">
        <w:t xml:space="preserve"> </w:t>
      </w:r>
      <w:r w:rsidR="002506A2">
        <w:t>42783</w:t>
      </w:r>
    </w:p>
    <w:p w:rsidR="002365C3" w:rsidRPr="00910DED" w:rsidRDefault="002365C3" w:rsidP="00B47353">
      <w:pPr>
        <w:pStyle w:val="BodyText"/>
      </w:pPr>
      <w:r w:rsidRPr="00910DED">
        <w:t xml:space="preserve">Debtors (VAT) </w:t>
      </w:r>
      <w:r w:rsidR="00705C62" w:rsidRPr="00910DED">
        <w:t xml:space="preserve"> </w:t>
      </w:r>
      <w:r w:rsidR="00446C4F" w:rsidRPr="00910DED">
        <w:t xml:space="preserve">  </w:t>
      </w:r>
      <w:r w:rsidR="00446C4F" w:rsidRPr="00910DED">
        <w:tab/>
        <w:t xml:space="preserve"> </w:t>
      </w:r>
      <w:r w:rsidR="00705C62" w:rsidRPr="00910DED">
        <w:tab/>
      </w:r>
      <w:r w:rsidRPr="00910DED">
        <w:tab/>
      </w:r>
      <w:r w:rsidRPr="00910DED">
        <w:tab/>
        <w:t xml:space="preserve">   </w:t>
      </w:r>
      <w:r w:rsidR="000C5340">
        <w:t>4</w:t>
      </w:r>
      <w:r w:rsidR="00F80EDE">
        <w:t>166</w:t>
      </w:r>
    </w:p>
    <w:p w:rsidR="00B47353" w:rsidRPr="00910DED" w:rsidRDefault="002365C3" w:rsidP="00B47353">
      <w:pPr>
        <w:pStyle w:val="BodyText"/>
      </w:pPr>
      <w:r w:rsidRPr="00910DED">
        <w:t>Current year accrual</w:t>
      </w:r>
      <w:r w:rsidR="00F80EDE">
        <w:t xml:space="preserve"> </w:t>
      </w:r>
      <w:r w:rsidR="00F80EDE">
        <w:tab/>
      </w:r>
      <w:r w:rsidR="00F80EDE">
        <w:tab/>
      </w:r>
      <w:r w:rsidR="00705C62" w:rsidRPr="00910DED">
        <w:t xml:space="preserve"> </w:t>
      </w:r>
      <w:r w:rsidR="00705C62" w:rsidRPr="00910DED">
        <w:tab/>
      </w:r>
      <w:r w:rsidR="00705C62" w:rsidRPr="00910DED">
        <w:tab/>
      </w:r>
      <w:r w:rsidR="00DE0042" w:rsidRPr="00910DED">
        <w:t xml:space="preserve"> </w:t>
      </w:r>
      <w:r w:rsidRPr="00910DED">
        <w:t>-1</w:t>
      </w:r>
      <w:r w:rsidR="00F80EDE">
        <w:t>017</w:t>
      </w:r>
      <w:r w:rsidR="00446C4F" w:rsidRPr="00910DED">
        <w:t xml:space="preserve"> </w:t>
      </w:r>
      <w:r w:rsidR="00446C4F" w:rsidRPr="00910DED">
        <w:tab/>
        <w:t xml:space="preserve">   </w:t>
      </w:r>
      <w:r w:rsidR="00446C4F" w:rsidRPr="00910DED">
        <w:tab/>
        <w:t xml:space="preserve">     </w:t>
      </w:r>
    </w:p>
    <w:p w:rsidR="00446C4F" w:rsidRPr="00910DED" w:rsidRDefault="002365C3" w:rsidP="00B47353">
      <w:pPr>
        <w:pStyle w:val="BodyText"/>
      </w:pPr>
      <w:r w:rsidRPr="00910DED">
        <w:t xml:space="preserve">Box 7 figure </w:t>
      </w:r>
      <w:r w:rsidRPr="00910DED">
        <w:tab/>
      </w:r>
      <w:r w:rsidRPr="00910DED">
        <w:tab/>
      </w:r>
      <w:r w:rsidRPr="00910DED">
        <w:tab/>
      </w:r>
      <w:r w:rsidRPr="00910DED">
        <w:tab/>
      </w:r>
      <w:r w:rsidRPr="00910DED">
        <w:tab/>
      </w:r>
      <w:r w:rsidR="000C5340">
        <w:t>4</w:t>
      </w:r>
      <w:r w:rsidR="00F80EDE">
        <w:t>5,932</w:t>
      </w:r>
    </w:p>
    <w:p w:rsidR="00DE0042" w:rsidRPr="00910DED" w:rsidRDefault="00DE0042" w:rsidP="00B47353">
      <w:pPr>
        <w:pStyle w:val="BodyText"/>
        <w:rPr>
          <w:b/>
          <w:u w:val="single"/>
        </w:rPr>
      </w:pPr>
    </w:p>
    <w:p w:rsidR="001D7484" w:rsidRPr="00910DED" w:rsidRDefault="002137E2">
      <w:pPr>
        <w:pStyle w:val="BodyText"/>
        <w:ind w:left="60"/>
        <w:rPr>
          <w:b/>
          <w:u w:val="single"/>
        </w:rPr>
      </w:pPr>
      <w:r w:rsidRPr="00910DED">
        <w:rPr>
          <w:b/>
          <w:u w:val="single"/>
        </w:rPr>
        <w:t>Current level of cover for fidelity guarantee</w:t>
      </w:r>
    </w:p>
    <w:p w:rsidR="002137E2" w:rsidRPr="00910DED" w:rsidRDefault="00C536A7">
      <w:pPr>
        <w:pStyle w:val="BodyText"/>
        <w:ind w:left="60"/>
        <w:rPr>
          <w:lang w:val="en-US"/>
        </w:rPr>
      </w:pPr>
      <w:r w:rsidRPr="00910DED">
        <w:rPr>
          <w:lang w:val="en-US"/>
        </w:rPr>
        <w:t>W</w:t>
      </w:r>
      <w:r w:rsidR="007C4AF9" w:rsidRPr="00910DED">
        <w:rPr>
          <w:lang w:val="en-US"/>
        </w:rPr>
        <w:t>ith effect from 1</w:t>
      </w:r>
      <w:r w:rsidR="007C4AF9" w:rsidRPr="00910DED">
        <w:rPr>
          <w:vertAlign w:val="superscript"/>
          <w:lang w:val="en-US"/>
        </w:rPr>
        <w:t>st</w:t>
      </w:r>
      <w:r w:rsidR="007C4AF9" w:rsidRPr="00910DED">
        <w:rPr>
          <w:lang w:val="en-US"/>
        </w:rPr>
        <w:t xml:space="preserve"> June 2011 </w:t>
      </w:r>
      <w:r w:rsidRPr="00910DED">
        <w:rPr>
          <w:lang w:val="en-US"/>
        </w:rPr>
        <w:t xml:space="preserve">the council has </w:t>
      </w:r>
      <w:r w:rsidR="000C5340">
        <w:rPr>
          <w:lang w:val="en-US"/>
        </w:rPr>
        <w:t xml:space="preserve">had </w:t>
      </w:r>
      <w:r w:rsidR="007C4AF9" w:rsidRPr="00910DED">
        <w:rPr>
          <w:lang w:val="en-US"/>
        </w:rPr>
        <w:t xml:space="preserve">Fidelity Guarantee cover up to £250,000. </w:t>
      </w:r>
    </w:p>
    <w:p w:rsidR="001336C0" w:rsidRPr="00910DED" w:rsidRDefault="001336C0">
      <w:pPr>
        <w:pStyle w:val="BodyText"/>
        <w:ind w:left="60"/>
        <w:rPr>
          <w:lang w:val="en-US"/>
        </w:rPr>
      </w:pPr>
    </w:p>
    <w:p w:rsidR="00BC052D" w:rsidRPr="00910DED" w:rsidRDefault="00BC052D">
      <w:pPr>
        <w:pStyle w:val="BodyText"/>
        <w:ind w:left="60"/>
      </w:pPr>
    </w:p>
    <w:p w:rsidR="00A33528" w:rsidRPr="00910DED" w:rsidRDefault="00DC2462">
      <w:pPr>
        <w:pStyle w:val="BodyText"/>
        <w:ind w:left="60"/>
      </w:pPr>
      <w:r w:rsidRPr="00910DED">
        <w:t xml:space="preserve">Tim Watton, </w:t>
      </w:r>
      <w:r w:rsidR="00A33528" w:rsidRPr="00910DED">
        <w:t>Parish Clerk</w:t>
      </w:r>
      <w:r w:rsidRPr="00910DED">
        <w:tab/>
      </w:r>
      <w:r w:rsidRPr="00910DED">
        <w:tab/>
      </w:r>
      <w:r w:rsidRPr="00910DED">
        <w:tab/>
      </w:r>
      <w:r w:rsidRPr="00910DED">
        <w:tab/>
      </w:r>
      <w:r w:rsidRPr="00910DED">
        <w:tab/>
      </w:r>
      <w:r w:rsidR="002365C3" w:rsidRPr="00910DED">
        <w:t xml:space="preserve"> </w:t>
      </w:r>
      <w:r w:rsidR="000C5340">
        <w:t>2</w:t>
      </w:r>
      <w:r w:rsidR="008876B2">
        <w:t>8</w:t>
      </w:r>
      <w:r w:rsidR="002506A2" w:rsidRPr="002506A2">
        <w:rPr>
          <w:vertAlign w:val="superscript"/>
        </w:rPr>
        <w:t>th</w:t>
      </w:r>
      <w:r w:rsidR="002506A2">
        <w:t xml:space="preserve"> June 2018</w:t>
      </w:r>
    </w:p>
    <w:sectPr w:rsidR="00A33528" w:rsidRPr="00910DED"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57" w:rsidRDefault="00ED6257" w:rsidP="00125CE5">
      <w:r>
        <w:separator/>
      </w:r>
    </w:p>
  </w:endnote>
  <w:endnote w:type="continuationSeparator" w:id="0">
    <w:p w:rsidR="00ED6257" w:rsidRDefault="00ED6257" w:rsidP="0012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57" w:rsidRDefault="00ED6257" w:rsidP="00125CE5">
      <w:r>
        <w:separator/>
      </w:r>
    </w:p>
  </w:footnote>
  <w:footnote w:type="continuationSeparator" w:id="0">
    <w:p w:rsidR="00ED6257" w:rsidRDefault="00ED6257" w:rsidP="00125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E6A"/>
    <w:multiLevelType w:val="hybridMultilevel"/>
    <w:tmpl w:val="683AD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6108"/>
    <w:multiLevelType w:val="hybridMultilevel"/>
    <w:tmpl w:val="D8CEF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0471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F561E2"/>
    <w:multiLevelType w:val="hybridMultilevel"/>
    <w:tmpl w:val="B5A4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7A96"/>
    <w:multiLevelType w:val="singleLevel"/>
    <w:tmpl w:val="39665B1E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691B6D0C"/>
    <w:multiLevelType w:val="hybridMultilevel"/>
    <w:tmpl w:val="65E2239E"/>
    <w:lvl w:ilvl="0" w:tplc="24089D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D0AA9"/>
    <w:multiLevelType w:val="hybridMultilevel"/>
    <w:tmpl w:val="34E8F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35088"/>
    <w:multiLevelType w:val="hybridMultilevel"/>
    <w:tmpl w:val="70CC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31C13"/>
    <w:multiLevelType w:val="singleLevel"/>
    <w:tmpl w:val="9A02D430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D7"/>
    <w:rsid w:val="000154CC"/>
    <w:rsid w:val="000154F9"/>
    <w:rsid w:val="000454F2"/>
    <w:rsid w:val="00063C77"/>
    <w:rsid w:val="00066FAD"/>
    <w:rsid w:val="00093FC5"/>
    <w:rsid w:val="000C1C45"/>
    <w:rsid w:val="000C3AA2"/>
    <w:rsid w:val="000C5340"/>
    <w:rsid w:val="000C6793"/>
    <w:rsid w:val="000E00D6"/>
    <w:rsid w:val="000E2D20"/>
    <w:rsid w:val="00105698"/>
    <w:rsid w:val="00106B2C"/>
    <w:rsid w:val="00125CE5"/>
    <w:rsid w:val="001336C0"/>
    <w:rsid w:val="0015288B"/>
    <w:rsid w:val="00160AE5"/>
    <w:rsid w:val="001711CA"/>
    <w:rsid w:val="00172578"/>
    <w:rsid w:val="00183021"/>
    <w:rsid w:val="00195FD6"/>
    <w:rsid w:val="001A4D4A"/>
    <w:rsid w:val="001C1DC4"/>
    <w:rsid w:val="001C2F7A"/>
    <w:rsid w:val="001C64F3"/>
    <w:rsid w:val="001D7484"/>
    <w:rsid w:val="001F1DEC"/>
    <w:rsid w:val="002137E2"/>
    <w:rsid w:val="00214F43"/>
    <w:rsid w:val="002365C3"/>
    <w:rsid w:val="00236B49"/>
    <w:rsid w:val="00246448"/>
    <w:rsid w:val="002506A2"/>
    <w:rsid w:val="002638D9"/>
    <w:rsid w:val="00290184"/>
    <w:rsid w:val="002B22C6"/>
    <w:rsid w:val="002C601B"/>
    <w:rsid w:val="002D31F5"/>
    <w:rsid w:val="0033085A"/>
    <w:rsid w:val="0034285A"/>
    <w:rsid w:val="003562A6"/>
    <w:rsid w:val="003578C1"/>
    <w:rsid w:val="003923EF"/>
    <w:rsid w:val="003B697E"/>
    <w:rsid w:val="003F2F32"/>
    <w:rsid w:val="004052A5"/>
    <w:rsid w:val="00440BB2"/>
    <w:rsid w:val="004427B3"/>
    <w:rsid w:val="00446C4F"/>
    <w:rsid w:val="004773B2"/>
    <w:rsid w:val="004815BA"/>
    <w:rsid w:val="00484B00"/>
    <w:rsid w:val="00493501"/>
    <w:rsid w:val="004B5756"/>
    <w:rsid w:val="004D36BB"/>
    <w:rsid w:val="004F369C"/>
    <w:rsid w:val="00531E9B"/>
    <w:rsid w:val="00564621"/>
    <w:rsid w:val="0057468E"/>
    <w:rsid w:val="00581AD8"/>
    <w:rsid w:val="0058254F"/>
    <w:rsid w:val="00593DDC"/>
    <w:rsid w:val="0059571D"/>
    <w:rsid w:val="005E418F"/>
    <w:rsid w:val="00611A11"/>
    <w:rsid w:val="00626B51"/>
    <w:rsid w:val="00634BA9"/>
    <w:rsid w:val="0066148D"/>
    <w:rsid w:val="0068124B"/>
    <w:rsid w:val="006A73E8"/>
    <w:rsid w:val="006E0F5E"/>
    <w:rsid w:val="006E69F0"/>
    <w:rsid w:val="00705C62"/>
    <w:rsid w:val="0070639D"/>
    <w:rsid w:val="00730993"/>
    <w:rsid w:val="007312BC"/>
    <w:rsid w:val="0074328A"/>
    <w:rsid w:val="00752357"/>
    <w:rsid w:val="00776F7F"/>
    <w:rsid w:val="00792D06"/>
    <w:rsid w:val="007A5563"/>
    <w:rsid w:val="007C4AF9"/>
    <w:rsid w:val="007D3C83"/>
    <w:rsid w:val="007E553A"/>
    <w:rsid w:val="0080427D"/>
    <w:rsid w:val="00823DAB"/>
    <w:rsid w:val="008262AA"/>
    <w:rsid w:val="00840EAC"/>
    <w:rsid w:val="008503F9"/>
    <w:rsid w:val="00857568"/>
    <w:rsid w:val="0086704D"/>
    <w:rsid w:val="00874DA0"/>
    <w:rsid w:val="008876B2"/>
    <w:rsid w:val="0089646C"/>
    <w:rsid w:val="008A7886"/>
    <w:rsid w:val="008D0CD1"/>
    <w:rsid w:val="008D6FD7"/>
    <w:rsid w:val="00910DED"/>
    <w:rsid w:val="00920606"/>
    <w:rsid w:val="00952417"/>
    <w:rsid w:val="00962703"/>
    <w:rsid w:val="009638D7"/>
    <w:rsid w:val="00977332"/>
    <w:rsid w:val="00977466"/>
    <w:rsid w:val="00980C26"/>
    <w:rsid w:val="00983956"/>
    <w:rsid w:val="009873A2"/>
    <w:rsid w:val="00987BAF"/>
    <w:rsid w:val="0099000A"/>
    <w:rsid w:val="00995F9B"/>
    <w:rsid w:val="009A11AF"/>
    <w:rsid w:val="009B63DE"/>
    <w:rsid w:val="009D71EC"/>
    <w:rsid w:val="009F1D8F"/>
    <w:rsid w:val="009F3E63"/>
    <w:rsid w:val="00A00E84"/>
    <w:rsid w:val="00A018F5"/>
    <w:rsid w:val="00A11D0F"/>
    <w:rsid w:val="00A33528"/>
    <w:rsid w:val="00A475E7"/>
    <w:rsid w:val="00AC77FC"/>
    <w:rsid w:val="00AD0131"/>
    <w:rsid w:val="00B115C6"/>
    <w:rsid w:val="00B20DAF"/>
    <w:rsid w:val="00B2283A"/>
    <w:rsid w:val="00B36317"/>
    <w:rsid w:val="00B45598"/>
    <w:rsid w:val="00B47353"/>
    <w:rsid w:val="00B558EF"/>
    <w:rsid w:val="00B6527E"/>
    <w:rsid w:val="00B7415D"/>
    <w:rsid w:val="00B74D7B"/>
    <w:rsid w:val="00B76EC5"/>
    <w:rsid w:val="00B93E7F"/>
    <w:rsid w:val="00B95D6B"/>
    <w:rsid w:val="00BC052D"/>
    <w:rsid w:val="00BD6B6A"/>
    <w:rsid w:val="00BE7A45"/>
    <w:rsid w:val="00BF0F01"/>
    <w:rsid w:val="00C10011"/>
    <w:rsid w:val="00C13DE1"/>
    <w:rsid w:val="00C536A7"/>
    <w:rsid w:val="00C57F64"/>
    <w:rsid w:val="00C80BD7"/>
    <w:rsid w:val="00C8284E"/>
    <w:rsid w:val="00C87506"/>
    <w:rsid w:val="00CC1A2B"/>
    <w:rsid w:val="00CC4075"/>
    <w:rsid w:val="00CD6C01"/>
    <w:rsid w:val="00CE1CEB"/>
    <w:rsid w:val="00D07CA3"/>
    <w:rsid w:val="00D11619"/>
    <w:rsid w:val="00D5192E"/>
    <w:rsid w:val="00D527C7"/>
    <w:rsid w:val="00D6439E"/>
    <w:rsid w:val="00DA2436"/>
    <w:rsid w:val="00DC2462"/>
    <w:rsid w:val="00DD2BE0"/>
    <w:rsid w:val="00DE0042"/>
    <w:rsid w:val="00DE5214"/>
    <w:rsid w:val="00DE63FF"/>
    <w:rsid w:val="00E31E16"/>
    <w:rsid w:val="00E44600"/>
    <w:rsid w:val="00E8587A"/>
    <w:rsid w:val="00E95DE0"/>
    <w:rsid w:val="00EB2520"/>
    <w:rsid w:val="00ED6257"/>
    <w:rsid w:val="00EE7B6F"/>
    <w:rsid w:val="00F16013"/>
    <w:rsid w:val="00F311DD"/>
    <w:rsid w:val="00F43758"/>
    <w:rsid w:val="00F53A49"/>
    <w:rsid w:val="00F738D3"/>
    <w:rsid w:val="00F80EDE"/>
    <w:rsid w:val="00F91E30"/>
    <w:rsid w:val="00FF30F5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8EB33-BC99-4DAE-A2C1-2508B4DD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7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5CE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CE5"/>
  </w:style>
  <w:style w:type="character" w:styleId="FootnoteReference">
    <w:name w:val="footnote reference"/>
    <w:basedOn w:val="DefaultParagraphFont"/>
    <w:uiPriority w:val="99"/>
    <w:semiHidden/>
    <w:unhideWhenUsed/>
    <w:rsid w:val="00125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C14B-F9DF-4A82-B755-E130270D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TRUSTS et al</vt:lpstr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TRUSTS et al</dc:title>
  <dc:subject/>
  <dc:creator>Peter J EVANS</dc:creator>
  <cp:keywords/>
  <cp:lastModifiedBy>Tim Watton</cp:lastModifiedBy>
  <cp:revision>2</cp:revision>
  <cp:lastPrinted>2018-06-27T16:26:00Z</cp:lastPrinted>
  <dcterms:created xsi:type="dcterms:W3CDTF">2018-07-05T15:31:00Z</dcterms:created>
  <dcterms:modified xsi:type="dcterms:W3CDTF">2018-07-05T15:31:00Z</dcterms:modified>
</cp:coreProperties>
</file>