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D7D77" w14:textId="77777777" w:rsidR="00CF7F2E" w:rsidRDefault="00C71CED" w:rsidP="008712B1">
      <w:pPr>
        <w:spacing w:after="120" w:line="240" w:lineRule="auto"/>
        <w:jc w:val="center"/>
        <w:rPr>
          <w:sz w:val="24"/>
          <w:szCs w:val="24"/>
        </w:rPr>
      </w:pPr>
      <w:bookmarkStart w:id="0" w:name="_GoBack"/>
      <w:bookmarkEnd w:id="0"/>
      <w:r w:rsidRPr="00411721">
        <w:rPr>
          <w:sz w:val="24"/>
          <w:szCs w:val="24"/>
        </w:rPr>
        <w:t>Lytchett Matravers Parish Council</w:t>
      </w:r>
    </w:p>
    <w:p w14:paraId="39AEACE1" w14:textId="77777777" w:rsidR="00CF7F2E" w:rsidRDefault="00CF7F2E" w:rsidP="008712B1">
      <w:pPr>
        <w:spacing w:after="120" w:line="240" w:lineRule="auto"/>
        <w:jc w:val="center"/>
        <w:rPr>
          <w:sz w:val="24"/>
          <w:szCs w:val="24"/>
        </w:rPr>
      </w:pPr>
      <w:r>
        <w:rPr>
          <w:sz w:val="24"/>
          <w:szCs w:val="24"/>
        </w:rPr>
        <w:t>A proposal to Install Electric Vehicle Charging Points in the Recreation Ground Car Park</w:t>
      </w:r>
    </w:p>
    <w:p w14:paraId="43E35E8A" w14:textId="7D2B11FF" w:rsidR="00C71CED" w:rsidRPr="00411721" w:rsidRDefault="002D6E6F" w:rsidP="008712B1">
      <w:pPr>
        <w:spacing w:after="120" w:line="240" w:lineRule="auto"/>
        <w:jc w:val="center"/>
        <w:rPr>
          <w:sz w:val="24"/>
          <w:szCs w:val="24"/>
        </w:rPr>
      </w:pPr>
      <w:r w:rsidRPr="00411721">
        <w:rPr>
          <w:sz w:val="24"/>
          <w:szCs w:val="24"/>
        </w:rPr>
        <w:t>Nov</w:t>
      </w:r>
      <w:r w:rsidR="00C71CED" w:rsidRPr="00411721">
        <w:rPr>
          <w:sz w:val="24"/>
          <w:szCs w:val="24"/>
        </w:rPr>
        <w:t>ember 2019</w:t>
      </w:r>
    </w:p>
    <w:p w14:paraId="3636596F" w14:textId="426BEB1B" w:rsidR="00C71CED" w:rsidRPr="00411721" w:rsidRDefault="003474CA" w:rsidP="00411721">
      <w:pPr>
        <w:pStyle w:val="Heading1"/>
        <w:rPr>
          <w:rFonts w:ascii="Calibri" w:hAnsi="Calibri" w:cs="Calibri"/>
          <w:color w:val="000000" w:themeColor="text1"/>
          <w:sz w:val="24"/>
          <w:szCs w:val="24"/>
        </w:rPr>
      </w:pPr>
      <w:r>
        <w:rPr>
          <w:rFonts w:ascii="Calibri" w:hAnsi="Calibri" w:cs="Calibri"/>
          <w:color w:val="000000" w:themeColor="text1"/>
          <w:sz w:val="24"/>
          <w:szCs w:val="24"/>
        </w:rPr>
        <w:t>Introduction</w:t>
      </w:r>
    </w:p>
    <w:p w14:paraId="0F472764" w14:textId="77777777" w:rsidR="00D404C2" w:rsidRDefault="003474CA" w:rsidP="00824CC5">
      <w:pPr>
        <w:pStyle w:val="ListParagraph"/>
        <w:numPr>
          <w:ilvl w:val="0"/>
          <w:numId w:val="2"/>
        </w:numPr>
        <w:spacing w:before="120" w:after="0" w:line="240" w:lineRule="auto"/>
        <w:ind w:left="709" w:hanging="283"/>
        <w:contextualSpacing w:val="0"/>
        <w:rPr>
          <w:rFonts w:cstheme="minorHAnsi"/>
        </w:rPr>
      </w:pPr>
      <w:r w:rsidRPr="00D404C2">
        <w:rPr>
          <w:rFonts w:cstheme="minorHAnsi"/>
        </w:rPr>
        <w:t xml:space="preserve">In the last decade the number of electric cars licensed for use in the UK has </w:t>
      </w:r>
      <w:r w:rsidR="00D404C2" w:rsidRPr="00D404C2">
        <w:rPr>
          <w:rFonts w:cstheme="minorHAnsi"/>
        </w:rPr>
        <w:t>increased by a factor of about 100, and there are now about 200,000 electric cars on the road. This growth is expected to continue, with more and more manufacturers bringing new models onto the market.</w:t>
      </w:r>
    </w:p>
    <w:p w14:paraId="03A04B23" w14:textId="7ABBA2B7" w:rsidR="00D404C2" w:rsidRPr="00D404C2" w:rsidRDefault="00D404C2" w:rsidP="00824CC5">
      <w:pPr>
        <w:pStyle w:val="ListParagraph"/>
        <w:numPr>
          <w:ilvl w:val="0"/>
          <w:numId w:val="2"/>
        </w:numPr>
        <w:spacing w:before="120" w:after="0" w:line="240" w:lineRule="auto"/>
        <w:ind w:left="709" w:hanging="283"/>
        <w:contextualSpacing w:val="0"/>
        <w:rPr>
          <w:rFonts w:cstheme="minorHAnsi"/>
        </w:rPr>
      </w:pPr>
      <w:r>
        <w:rPr>
          <w:rFonts w:cstheme="minorHAnsi"/>
        </w:rPr>
        <w:t>The UK is supporting this trend, for two main reasons. Firstly, p</w:t>
      </w:r>
      <w:r w:rsidRPr="00C93F30">
        <w:rPr>
          <w:rFonts w:cstheme="minorHAnsi"/>
        </w:rPr>
        <w:t xml:space="preserve">oor air quality is the "biggest environmental risk to public health in the UK", and secondly </w:t>
      </w:r>
      <w:r>
        <w:rPr>
          <w:rFonts w:cstheme="minorHAnsi"/>
        </w:rPr>
        <w:t>the burning of fossil fuels in road vehicles is a major contributor to the nations Greenhouse Gas Emissions. In 2019 the Government introduce</w:t>
      </w:r>
      <w:r w:rsidR="00BE3B81">
        <w:rPr>
          <w:rFonts w:cstheme="minorHAnsi"/>
        </w:rPr>
        <w:t>d</w:t>
      </w:r>
      <w:r>
        <w:rPr>
          <w:rFonts w:cstheme="minorHAnsi"/>
        </w:rPr>
        <w:t xml:space="preserve"> a ban on new petrol and diesel cars from 2040, but is under pressure to bring this deadline forward and ban all </w:t>
      </w:r>
      <w:r w:rsidRPr="00C93F30">
        <w:rPr>
          <w:rFonts w:cstheme="minorHAnsi"/>
        </w:rPr>
        <w:t>sales of new petrol and diesel cars by 2032.</w:t>
      </w:r>
    </w:p>
    <w:p w14:paraId="3B367E0C" w14:textId="0AD4AF40" w:rsidR="00C93F30" w:rsidRPr="00C93F30" w:rsidRDefault="00D404C2" w:rsidP="00007DD1">
      <w:pPr>
        <w:pStyle w:val="ListParagraph"/>
        <w:numPr>
          <w:ilvl w:val="0"/>
          <w:numId w:val="2"/>
        </w:numPr>
        <w:spacing w:before="120" w:after="0" w:line="240" w:lineRule="auto"/>
        <w:ind w:left="709" w:hanging="283"/>
        <w:contextualSpacing w:val="0"/>
        <w:rPr>
          <w:rFonts w:cstheme="minorHAnsi"/>
        </w:rPr>
      </w:pPr>
      <w:r w:rsidRPr="00C93F30">
        <w:rPr>
          <w:rFonts w:cstheme="minorHAnsi"/>
        </w:rPr>
        <w:t>One of the factors acting to slow down th</w:t>
      </w:r>
      <w:r w:rsidR="00BE3B81">
        <w:rPr>
          <w:rFonts w:cstheme="minorHAnsi"/>
        </w:rPr>
        <w:t>e rate of</w:t>
      </w:r>
      <w:r w:rsidRPr="00C93F30">
        <w:rPr>
          <w:rFonts w:cstheme="minorHAnsi"/>
        </w:rPr>
        <w:t xml:space="preserve"> growth is a perception that the UK infrastructure for charging electric vehicles is underdeveloped. To overcome this, Local Authorities are </w:t>
      </w:r>
      <w:r w:rsidR="00C93F30" w:rsidRPr="00C93F30">
        <w:rPr>
          <w:rFonts w:cstheme="minorHAnsi"/>
        </w:rPr>
        <w:t xml:space="preserve">taking steps to install </w:t>
      </w:r>
      <w:r w:rsidR="00DF6BE6">
        <w:rPr>
          <w:rFonts w:cstheme="minorHAnsi"/>
        </w:rPr>
        <w:t>E</w:t>
      </w:r>
      <w:r w:rsidR="00C93F30" w:rsidRPr="00C93F30">
        <w:rPr>
          <w:rFonts w:cstheme="minorHAnsi"/>
        </w:rPr>
        <w:t xml:space="preserve">lectric </w:t>
      </w:r>
      <w:r w:rsidR="00DF6BE6">
        <w:rPr>
          <w:rFonts w:cstheme="minorHAnsi"/>
        </w:rPr>
        <w:t>V</w:t>
      </w:r>
      <w:r w:rsidR="00C93F30" w:rsidRPr="00C93F30">
        <w:rPr>
          <w:rFonts w:cstheme="minorHAnsi"/>
        </w:rPr>
        <w:t xml:space="preserve">ehicle </w:t>
      </w:r>
      <w:r w:rsidR="00DF6BE6">
        <w:rPr>
          <w:rFonts w:cstheme="minorHAnsi"/>
        </w:rPr>
        <w:t>C</w:t>
      </w:r>
      <w:r w:rsidR="00C93F30" w:rsidRPr="00C93F30">
        <w:rPr>
          <w:rFonts w:cstheme="minorHAnsi"/>
        </w:rPr>
        <w:t xml:space="preserve">harging </w:t>
      </w:r>
      <w:r w:rsidR="00DF6BE6">
        <w:rPr>
          <w:rFonts w:cstheme="minorHAnsi"/>
        </w:rPr>
        <w:t>P</w:t>
      </w:r>
      <w:r w:rsidR="00C93F30" w:rsidRPr="00C93F30">
        <w:rPr>
          <w:rFonts w:cstheme="minorHAnsi"/>
        </w:rPr>
        <w:t xml:space="preserve">oints </w:t>
      </w:r>
      <w:r w:rsidR="00DF6BE6">
        <w:rPr>
          <w:rFonts w:cstheme="minorHAnsi"/>
        </w:rPr>
        <w:t xml:space="preserve">(EVCPs) </w:t>
      </w:r>
      <w:r w:rsidR="00C93F30" w:rsidRPr="00C93F30">
        <w:rPr>
          <w:rFonts w:cstheme="minorHAnsi"/>
        </w:rPr>
        <w:t>at places of work, public car parks, etc.</w:t>
      </w:r>
      <w:r w:rsidR="00BE3B81">
        <w:rPr>
          <w:rFonts w:cstheme="minorHAnsi"/>
        </w:rPr>
        <w:t>, and in some cases are requiring the installation of EVCPs as a Condition of Planning Consents for new housing developments.</w:t>
      </w:r>
    </w:p>
    <w:p w14:paraId="34D1DFEA" w14:textId="77777777" w:rsidR="00DB6695" w:rsidRPr="00DB6695" w:rsidRDefault="00C93F30" w:rsidP="00FA1B0A">
      <w:pPr>
        <w:pStyle w:val="ListParagraph"/>
        <w:numPr>
          <w:ilvl w:val="0"/>
          <w:numId w:val="2"/>
        </w:numPr>
        <w:spacing w:before="120" w:after="0" w:line="240" w:lineRule="auto"/>
        <w:ind w:left="709" w:hanging="283"/>
        <w:contextualSpacing w:val="0"/>
        <w:rPr>
          <w:rFonts w:cstheme="minorHAnsi"/>
        </w:rPr>
      </w:pPr>
      <w:r w:rsidRPr="00DB6695">
        <w:rPr>
          <w:rFonts w:cstheme="minorHAnsi"/>
        </w:rPr>
        <w:t xml:space="preserve">Hampshire County Council has put in place a </w:t>
      </w:r>
      <w:r w:rsidR="00DF6BE6" w:rsidRPr="00DB6695">
        <w:rPr>
          <w:rFonts w:cstheme="minorHAnsi"/>
        </w:rPr>
        <w:t>F</w:t>
      </w:r>
      <w:r w:rsidRPr="00DB6695">
        <w:rPr>
          <w:rFonts w:cstheme="minorHAnsi"/>
        </w:rPr>
        <w:t xml:space="preserve">ramework </w:t>
      </w:r>
      <w:r w:rsidR="00DF6BE6" w:rsidRPr="00DB6695">
        <w:rPr>
          <w:rFonts w:cstheme="minorHAnsi"/>
        </w:rPr>
        <w:t>A</w:t>
      </w:r>
      <w:r w:rsidRPr="00DB6695">
        <w:rPr>
          <w:rFonts w:cstheme="minorHAnsi"/>
        </w:rPr>
        <w:t xml:space="preserve">greement with </w:t>
      </w:r>
      <w:proofErr w:type="spellStart"/>
      <w:r w:rsidRPr="00DB6695">
        <w:rPr>
          <w:rFonts w:cstheme="minorHAnsi"/>
        </w:rPr>
        <w:t>Joju</w:t>
      </w:r>
      <w:proofErr w:type="spellEnd"/>
      <w:r w:rsidRPr="00DB6695">
        <w:rPr>
          <w:rFonts w:cstheme="minorHAnsi"/>
        </w:rPr>
        <w:t xml:space="preserve"> Solar </w:t>
      </w:r>
      <w:r w:rsidR="00DF6BE6" w:rsidRPr="00DB6695">
        <w:rPr>
          <w:rFonts w:cstheme="minorHAnsi"/>
        </w:rPr>
        <w:t>for Electric Vehicle Charging Points across the Central Southern Region</w:t>
      </w:r>
      <w:r w:rsidR="00DF6BE6" w:rsidRPr="00DB6695">
        <w:rPr>
          <w:rFonts w:cstheme="minorHAnsi"/>
          <w:color w:val="404040"/>
        </w:rPr>
        <w:t xml:space="preserve">. </w:t>
      </w:r>
      <w:r w:rsidR="00DB6695" w:rsidRPr="00DB6695">
        <w:rPr>
          <w:rFonts w:cstheme="minorHAnsi"/>
          <w:color w:val="404040"/>
        </w:rPr>
        <w:t xml:space="preserve">This agreement allows public sector organisations in Hampshire, Berkshire, Devon, Dorset, Oxfordshire, Surrey, West Sussex, Wiltshire, and the Isle of Wight to access </w:t>
      </w:r>
      <w:proofErr w:type="spellStart"/>
      <w:r w:rsidR="00DF6BE6" w:rsidRPr="00DB6695">
        <w:rPr>
          <w:rFonts w:cstheme="minorHAnsi"/>
          <w:color w:val="404040"/>
        </w:rPr>
        <w:t>Joju</w:t>
      </w:r>
      <w:proofErr w:type="spellEnd"/>
      <w:r w:rsidR="00DF6BE6" w:rsidRPr="00DB6695">
        <w:rPr>
          <w:rFonts w:cstheme="minorHAnsi"/>
          <w:color w:val="404040"/>
        </w:rPr>
        <w:t xml:space="preserve"> </w:t>
      </w:r>
      <w:proofErr w:type="spellStart"/>
      <w:r w:rsidR="00DF6BE6" w:rsidRPr="00DB6695">
        <w:rPr>
          <w:rFonts w:cstheme="minorHAnsi"/>
          <w:color w:val="404040"/>
        </w:rPr>
        <w:t>Solar</w:t>
      </w:r>
      <w:r w:rsidR="00DB6695" w:rsidRPr="00DB6695">
        <w:rPr>
          <w:rFonts w:cstheme="minorHAnsi"/>
          <w:color w:val="404040"/>
        </w:rPr>
        <w:t>’s</w:t>
      </w:r>
      <w:proofErr w:type="spellEnd"/>
      <w:r w:rsidR="00DB6695" w:rsidRPr="00DB6695">
        <w:rPr>
          <w:rFonts w:cstheme="minorHAnsi"/>
          <w:color w:val="404040"/>
        </w:rPr>
        <w:t xml:space="preserve"> services. </w:t>
      </w:r>
      <w:r w:rsidR="00E27AD0" w:rsidRPr="00DB6695">
        <w:rPr>
          <w:rFonts w:cstheme="minorHAnsi"/>
          <w:color w:val="404040"/>
        </w:rPr>
        <w:t xml:space="preserve">One of the objectives for this Framework Agreement is to ensure that consistent charging technology is put in place in all locations </w:t>
      </w:r>
      <w:r w:rsidR="00DB6695">
        <w:rPr>
          <w:rFonts w:cstheme="minorHAnsi"/>
          <w:color w:val="404040"/>
        </w:rPr>
        <w:t xml:space="preserve">throughout this region </w:t>
      </w:r>
      <w:r w:rsidR="00E27AD0" w:rsidRPr="00DB6695">
        <w:rPr>
          <w:rFonts w:cstheme="minorHAnsi"/>
          <w:color w:val="404040"/>
        </w:rPr>
        <w:t>under the control of local government</w:t>
      </w:r>
      <w:r w:rsidR="00DB6695">
        <w:rPr>
          <w:rFonts w:cstheme="minorHAnsi"/>
          <w:color w:val="404040"/>
        </w:rPr>
        <w:t xml:space="preserve">, which </w:t>
      </w:r>
      <w:r w:rsidR="00E27AD0" w:rsidRPr="00DB6695">
        <w:rPr>
          <w:rFonts w:cstheme="minorHAnsi"/>
          <w:color w:val="404040"/>
        </w:rPr>
        <w:t>will represent a significant benefit to the users of electric vehicles.</w:t>
      </w:r>
      <w:r w:rsidR="00DF6BE6" w:rsidRPr="00DB6695">
        <w:rPr>
          <w:rFonts w:cstheme="minorHAnsi"/>
          <w:color w:val="404040"/>
        </w:rPr>
        <w:t xml:space="preserve"> </w:t>
      </w:r>
    </w:p>
    <w:p w14:paraId="3870C2A9" w14:textId="0685D230" w:rsidR="00C71CED" w:rsidRPr="00DB6695" w:rsidRDefault="00DB6695" w:rsidP="00BA297A">
      <w:pPr>
        <w:pStyle w:val="ListParagraph"/>
        <w:numPr>
          <w:ilvl w:val="0"/>
          <w:numId w:val="2"/>
        </w:numPr>
        <w:spacing w:before="120" w:after="0" w:line="240" w:lineRule="auto"/>
        <w:ind w:left="709" w:hanging="283"/>
        <w:contextualSpacing w:val="0"/>
        <w:rPr>
          <w:rFonts w:cstheme="minorHAnsi"/>
        </w:rPr>
      </w:pPr>
      <w:proofErr w:type="spellStart"/>
      <w:r w:rsidRPr="00DB6695">
        <w:rPr>
          <w:rFonts w:cstheme="minorHAnsi"/>
          <w:color w:val="404040"/>
        </w:rPr>
        <w:t>JoJu</w:t>
      </w:r>
      <w:proofErr w:type="spellEnd"/>
      <w:r w:rsidRPr="00DB6695">
        <w:rPr>
          <w:rFonts w:cstheme="minorHAnsi"/>
          <w:color w:val="404040"/>
        </w:rPr>
        <w:t xml:space="preserve"> Solar have carried out a Feasibility Study to assess the viability of installing EVCPs at Lytchett Matravers under the terms of this agreement.</w:t>
      </w:r>
      <w:r w:rsidR="00DF6BE6" w:rsidRPr="00DB6695">
        <w:rPr>
          <w:rFonts w:cstheme="minorHAnsi"/>
          <w:color w:val="404040"/>
        </w:rPr>
        <w:t xml:space="preserve"> </w:t>
      </w:r>
      <w:r w:rsidR="002D6E6F" w:rsidRPr="00DB6695">
        <w:rPr>
          <w:rFonts w:cstheme="minorHAnsi"/>
        </w:rPr>
        <w:t xml:space="preserve"> </w:t>
      </w:r>
    </w:p>
    <w:p w14:paraId="3699648C" w14:textId="66FE74C6" w:rsidR="00411721" w:rsidRPr="00C93F30" w:rsidRDefault="00C93F30" w:rsidP="00221430">
      <w:pPr>
        <w:pStyle w:val="Heading1"/>
        <w:spacing w:before="120"/>
        <w:ind w:left="425" w:hanging="425"/>
        <w:rPr>
          <w:rFonts w:asciiTheme="minorHAnsi" w:hAnsiTheme="minorHAnsi" w:cstheme="minorHAnsi"/>
          <w:color w:val="000000" w:themeColor="text1"/>
          <w:sz w:val="22"/>
          <w:szCs w:val="22"/>
        </w:rPr>
      </w:pPr>
      <w:proofErr w:type="spellStart"/>
      <w:r w:rsidRPr="00C93F30">
        <w:rPr>
          <w:rFonts w:ascii="Calibri" w:hAnsi="Calibri" w:cs="Calibri"/>
          <w:color w:val="000000" w:themeColor="text1"/>
          <w:sz w:val="24"/>
          <w:szCs w:val="24"/>
        </w:rPr>
        <w:t>Joj</w:t>
      </w:r>
      <w:r w:rsidR="00DF6BE6">
        <w:rPr>
          <w:rFonts w:ascii="Calibri" w:hAnsi="Calibri" w:cs="Calibri"/>
          <w:color w:val="000000" w:themeColor="text1"/>
          <w:sz w:val="24"/>
          <w:szCs w:val="24"/>
        </w:rPr>
        <w:t>u</w:t>
      </w:r>
      <w:proofErr w:type="spellEnd"/>
      <w:r w:rsidRPr="00C93F30">
        <w:rPr>
          <w:rFonts w:ascii="Calibri" w:hAnsi="Calibri" w:cs="Calibri"/>
          <w:color w:val="000000" w:themeColor="text1"/>
          <w:sz w:val="24"/>
          <w:szCs w:val="24"/>
        </w:rPr>
        <w:t xml:space="preserve"> </w:t>
      </w:r>
      <w:r w:rsidR="00E27AD0">
        <w:rPr>
          <w:rFonts w:ascii="Calibri" w:hAnsi="Calibri" w:cs="Calibri"/>
          <w:color w:val="000000" w:themeColor="text1"/>
          <w:sz w:val="24"/>
          <w:szCs w:val="24"/>
        </w:rPr>
        <w:t xml:space="preserve">Solar </w:t>
      </w:r>
      <w:r w:rsidRPr="00C93F30">
        <w:rPr>
          <w:rFonts w:ascii="Calibri" w:hAnsi="Calibri" w:cs="Calibri"/>
          <w:color w:val="000000" w:themeColor="text1"/>
          <w:sz w:val="24"/>
          <w:szCs w:val="24"/>
        </w:rPr>
        <w:t>Feasibility Study of Installing Electric Vehicle Charging Points in Lytchett Matravers</w:t>
      </w:r>
    </w:p>
    <w:p w14:paraId="5C124EAF" w14:textId="03BD2807" w:rsidR="001D5ED7" w:rsidRDefault="00E27AD0" w:rsidP="004D1A37">
      <w:pPr>
        <w:spacing w:before="120" w:after="0" w:line="240" w:lineRule="auto"/>
        <w:ind w:left="426"/>
        <w:rPr>
          <w:rFonts w:cstheme="minorHAnsi"/>
        </w:rPr>
      </w:pPr>
      <w:proofErr w:type="spellStart"/>
      <w:r>
        <w:rPr>
          <w:rFonts w:cstheme="minorHAnsi"/>
        </w:rPr>
        <w:t>JoJu</w:t>
      </w:r>
      <w:proofErr w:type="spellEnd"/>
      <w:r>
        <w:rPr>
          <w:rFonts w:cstheme="minorHAnsi"/>
        </w:rPr>
        <w:t xml:space="preserve"> Solar have considered the viability of installing EVCPs as part of the Parish Council’s project to extend and upgrade the eastern end of the Recreation Ground Car Park. The brief given to </w:t>
      </w:r>
      <w:proofErr w:type="spellStart"/>
      <w:r>
        <w:rPr>
          <w:rFonts w:cstheme="minorHAnsi"/>
        </w:rPr>
        <w:t>JoJu</w:t>
      </w:r>
      <w:proofErr w:type="spellEnd"/>
      <w:r>
        <w:rPr>
          <w:rFonts w:cstheme="minorHAnsi"/>
        </w:rPr>
        <w:t xml:space="preserve"> Solar was for 8 EVCPs. The following key points emerge from the Feasibility Study:</w:t>
      </w:r>
    </w:p>
    <w:p w14:paraId="7294991A" w14:textId="77777777" w:rsidR="00250C83" w:rsidRDefault="00250C83" w:rsidP="001D5ED7">
      <w:pPr>
        <w:pStyle w:val="ListParagraph"/>
        <w:numPr>
          <w:ilvl w:val="0"/>
          <w:numId w:val="2"/>
        </w:numPr>
        <w:spacing w:before="120" w:after="0" w:line="240" w:lineRule="auto"/>
        <w:ind w:left="709" w:hanging="283"/>
        <w:contextualSpacing w:val="0"/>
        <w:rPr>
          <w:rFonts w:cstheme="minorHAnsi"/>
        </w:rPr>
      </w:pPr>
      <w:r>
        <w:rPr>
          <w:rFonts w:cstheme="minorHAnsi"/>
        </w:rPr>
        <w:t xml:space="preserve">The charging points proposed by </w:t>
      </w:r>
      <w:proofErr w:type="spellStart"/>
      <w:r>
        <w:rPr>
          <w:rFonts w:cstheme="minorHAnsi"/>
        </w:rPr>
        <w:t>JoJu</w:t>
      </w:r>
      <w:proofErr w:type="spellEnd"/>
      <w:r>
        <w:rPr>
          <w:rFonts w:cstheme="minorHAnsi"/>
        </w:rPr>
        <w:t xml:space="preserve"> are 22kW Fast Charge units manufactured by </w:t>
      </w:r>
      <w:proofErr w:type="spellStart"/>
      <w:r>
        <w:rPr>
          <w:rFonts w:cstheme="minorHAnsi"/>
        </w:rPr>
        <w:t>Alfen</w:t>
      </w:r>
      <w:proofErr w:type="spellEnd"/>
      <w:r>
        <w:rPr>
          <w:rFonts w:cstheme="minorHAnsi"/>
        </w:rPr>
        <w:t xml:space="preserve"> in Amsterdam. 45,000 </w:t>
      </w:r>
      <w:proofErr w:type="spellStart"/>
      <w:r>
        <w:rPr>
          <w:rFonts w:cstheme="minorHAnsi"/>
        </w:rPr>
        <w:t>Aflen</w:t>
      </w:r>
      <w:proofErr w:type="spellEnd"/>
      <w:r>
        <w:rPr>
          <w:rFonts w:cstheme="minorHAnsi"/>
        </w:rPr>
        <w:t xml:space="preserve"> units have been installed worldwide. </w:t>
      </w:r>
    </w:p>
    <w:p w14:paraId="2615E494" w14:textId="77777777" w:rsidR="00250C83" w:rsidRPr="00250C83" w:rsidRDefault="00250C83" w:rsidP="001D5ED7">
      <w:pPr>
        <w:pStyle w:val="ListParagraph"/>
        <w:numPr>
          <w:ilvl w:val="0"/>
          <w:numId w:val="2"/>
        </w:numPr>
        <w:spacing w:before="120" w:after="0" w:line="240" w:lineRule="auto"/>
        <w:ind w:left="709" w:hanging="283"/>
        <w:contextualSpacing w:val="0"/>
        <w:rPr>
          <w:rFonts w:cstheme="minorHAnsi"/>
        </w:rPr>
      </w:pPr>
      <w:proofErr w:type="spellStart"/>
      <w:r>
        <w:rPr>
          <w:rFonts w:cstheme="minorHAnsi"/>
        </w:rPr>
        <w:t>JoJu</w:t>
      </w:r>
      <w:proofErr w:type="spellEnd"/>
      <w:r>
        <w:rPr>
          <w:rFonts w:cstheme="minorHAnsi"/>
        </w:rPr>
        <w:t xml:space="preserve"> are partnered with Vattenfall UK, one of whose objectives is to enable fossil free living within one generation. </w:t>
      </w:r>
      <w:proofErr w:type="spellStart"/>
      <w:r>
        <w:rPr>
          <w:rFonts w:cstheme="minorHAnsi"/>
        </w:rPr>
        <w:t>Vattenfall</w:t>
      </w:r>
      <w:proofErr w:type="spellEnd"/>
      <w:r>
        <w:rPr>
          <w:rFonts w:cstheme="minorHAnsi"/>
        </w:rPr>
        <w:t xml:space="preserve"> UK own </w:t>
      </w:r>
      <w:proofErr w:type="spellStart"/>
      <w:r>
        <w:rPr>
          <w:color w:val="000000"/>
        </w:rPr>
        <w:t>iSupplyEnergy</w:t>
      </w:r>
      <w:proofErr w:type="spellEnd"/>
      <w:r>
        <w:rPr>
          <w:color w:val="000000"/>
        </w:rPr>
        <w:t xml:space="preserve"> who supply electricity that is 100% renewable. Vattenfall would be the electricity supplier for the EVCPs.</w:t>
      </w:r>
    </w:p>
    <w:p w14:paraId="5C285BA0" w14:textId="5FCE8744" w:rsidR="00ED2225" w:rsidRPr="008E25CE" w:rsidRDefault="00250C83" w:rsidP="001D5ED7">
      <w:pPr>
        <w:pStyle w:val="ListParagraph"/>
        <w:numPr>
          <w:ilvl w:val="0"/>
          <w:numId w:val="2"/>
        </w:numPr>
        <w:spacing w:before="120" w:after="0" w:line="240" w:lineRule="auto"/>
        <w:ind w:left="709" w:hanging="283"/>
        <w:contextualSpacing w:val="0"/>
        <w:rPr>
          <w:rFonts w:cstheme="minorHAnsi"/>
        </w:rPr>
      </w:pPr>
      <w:r>
        <w:rPr>
          <w:color w:val="000000"/>
        </w:rPr>
        <w:t>In addition to being the electricity supplier</w:t>
      </w:r>
      <w:r w:rsidR="00ED2225">
        <w:rPr>
          <w:color w:val="000000"/>
        </w:rPr>
        <w:t xml:space="preserve"> for the EVCPs installed by </w:t>
      </w:r>
      <w:proofErr w:type="spellStart"/>
      <w:r w:rsidR="00ED2225">
        <w:rPr>
          <w:color w:val="000000"/>
        </w:rPr>
        <w:t>JoJu</w:t>
      </w:r>
      <w:proofErr w:type="spellEnd"/>
      <w:r>
        <w:rPr>
          <w:color w:val="000000"/>
        </w:rPr>
        <w:t xml:space="preserve">, </w:t>
      </w:r>
      <w:proofErr w:type="spellStart"/>
      <w:r>
        <w:rPr>
          <w:color w:val="000000"/>
        </w:rPr>
        <w:t>Vattenfall</w:t>
      </w:r>
      <w:proofErr w:type="spellEnd"/>
      <w:r>
        <w:rPr>
          <w:color w:val="000000"/>
        </w:rPr>
        <w:t xml:space="preserve"> are also acting as a funding partner, and as such will provide finance to cover the costs of </w:t>
      </w:r>
      <w:r w:rsidR="008E25CE">
        <w:rPr>
          <w:color w:val="000000"/>
        </w:rPr>
        <w:t xml:space="preserve">purchasing and </w:t>
      </w:r>
      <w:r>
        <w:rPr>
          <w:color w:val="000000"/>
        </w:rPr>
        <w:t>installing the EVCPs</w:t>
      </w:r>
      <w:r w:rsidR="008E25CE">
        <w:rPr>
          <w:color w:val="000000"/>
        </w:rPr>
        <w:t>, which includes the cost of connecting the units to the electricity grid</w:t>
      </w:r>
      <w:r>
        <w:rPr>
          <w:color w:val="000000"/>
        </w:rPr>
        <w:t>.</w:t>
      </w:r>
    </w:p>
    <w:p w14:paraId="0227CFED" w14:textId="4FF29316" w:rsidR="008E25CE" w:rsidRPr="00ED2225" w:rsidRDefault="008E25CE" w:rsidP="001D5ED7">
      <w:pPr>
        <w:pStyle w:val="ListParagraph"/>
        <w:numPr>
          <w:ilvl w:val="0"/>
          <w:numId w:val="2"/>
        </w:numPr>
        <w:spacing w:before="120" w:after="0" w:line="240" w:lineRule="auto"/>
        <w:ind w:left="709" w:hanging="283"/>
        <w:contextualSpacing w:val="0"/>
        <w:rPr>
          <w:rFonts w:cstheme="minorHAnsi"/>
        </w:rPr>
      </w:pPr>
      <w:r>
        <w:rPr>
          <w:color w:val="000000"/>
        </w:rPr>
        <w:t xml:space="preserve">Once installed, the costs of running the EVCPs comprise the electricity costs, the “Back Office” costs (essentially a help desk service), and maintenance costs. </w:t>
      </w:r>
    </w:p>
    <w:p w14:paraId="09204F52" w14:textId="3C7C9158" w:rsidR="008E25CE" w:rsidRDefault="00ED2225" w:rsidP="001D5ED7">
      <w:pPr>
        <w:pStyle w:val="ListParagraph"/>
        <w:numPr>
          <w:ilvl w:val="0"/>
          <w:numId w:val="2"/>
        </w:numPr>
        <w:spacing w:before="120" w:after="0" w:line="240" w:lineRule="auto"/>
        <w:ind w:left="709" w:hanging="283"/>
        <w:contextualSpacing w:val="0"/>
        <w:rPr>
          <w:rFonts w:cstheme="minorHAnsi"/>
        </w:rPr>
      </w:pPr>
      <w:proofErr w:type="spellStart"/>
      <w:r>
        <w:rPr>
          <w:rFonts w:cstheme="minorHAnsi"/>
        </w:rPr>
        <w:t>JoJu</w:t>
      </w:r>
      <w:proofErr w:type="spellEnd"/>
      <w:r>
        <w:rPr>
          <w:rFonts w:cstheme="minorHAnsi"/>
        </w:rPr>
        <w:t xml:space="preserve"> have studied two options in terms of the number of EVCPs to be installed in the Recreation Ground Car Park. These </w:t>
      </w:r>
      <w:r w:rsidR="008E25CE">
        <w:rPr>
          <w:rFonts w:cstheme="minorHAnsi"/>
        </w:rPr>
        <w:t>options, together with their respective inst</w:t>
      </w:r>
      <w:r>
        <w:rPr>
          <w:rFonts w:cstheme="minorHAnsi"/>
        </w:rPr>
        <w:t>a</w:t>
      </w:r>
      <w:r w:rsidR="008E25CE">
        <w:rPr>
          <w:rFonts w:cstheme="minorHAnsi"/>
        </w:rPr>
        <w:t>llation costs, a</w:t>
      </w:r>
      <w:r>
        <w:rPr>
          <w:rFonts w:cstheme="minorHAnsi"/>
        </w:rPr>
        <w:t xml:space="preserve">re </w:t>
      </w:r>
      <w:r w:rsidR="008E25CE">
        <w:rPr>
          <w:rFonts w:cstheme="minorHAnsi"/>
        </w:rPr>
        <w:t>as shown in the table below.</w:t>
      </w:r>
    </w:p>
    <w:p w14:paraId="11E0C379" w14:textId="77777777" w:rsidR="008E25CE" w:rsidRDefault="008E25CE" w:rsidP="00F54D38">
      <w:pPr>
        <w:pStyle w:val="ListParagraph"/>
        <w:spacing w:before="120" w:after="0" w:line="240" w:lineRule="auto"/>
        <w:ind w:left="709"/>
        <w:contextualSpacing w:val="0"/>
        <w:rPr>
          <w:rFonts w:cstheme="minorHAnsi"/>
        </w:rPr>
      </w:pPr>
    </w:p>
    <w:tbl>
      <w:tblPr>
        <w:tblStyle w:val="TableGrid"/>
        <w:tblW w:w="0" w:type="auto"/>
        <w:jc w:val="center"/>
        <w:tblLook w:val="04A0" w:firstRow="1" w:lastRow="0" w:firstColumn="1" w:lastColumn="0" w:noHBand="0" w:noVBand="1"/>
      </w:tblPr>
      <w:tblGrid>
        <w:gridCol w:w="840"/>
        <w:gridCol w:w="998"/>
        <w:gridCol w:w="1484"/>
        <w:gridCol w:w="1351"/>
        <w:gridCol w:w="1219"/>
        <w:gridCol w:w="1348"/>
        <w:gridCol w:w="1400"/>
        <w:gridCol w:w="1144"/>
      </w:tblGrid>
      <w:tr w:rsidR="00F54D38" w14:paraId="2AE5ECC6" w14:textId="455E797B" w:rsidTr="00F54D38">
        <w:trPr>
          <w:jc w:val="center"/>
        </w:trPr>
        <w:tc>
          <w:tcPr>
            <w:tcW w:w="840" w:type="dxa"/>
          </w:tcPr>
          <w:p w14:paraId="081E95DE" w14:textId="3C419EF9" w:rsidR="00F54D38" w:rsidRDefault="00F54D38" w:rsidP="00F54D38">
            <w:pPr>
              <w:spacing w:before="120"/>
              <w:jc w:val="center"/>
              <w:rPr>
                <w:rFonts w:cstheme="minorHAnsi"/>
              </w:rPr>
            </w:pPr>
            <w:r>
              <w:rPr>
                <w:rFonts w:cstheme="minorHAnsi"/>
              </w:rPr>
              <w:t>Option</w:t>
            </w:r>
          </w:p>
        </w:tc>
        <w:tc>
          <w:tcPr>
            <w:tcW w:w="998" w:type="dxa"/>
          </w:tcPr>
          <w:p w14:paraId="18682843" w14:textId="72E6CFC2" w:rsidR="00F54D38" w:rsidRDefault="00F54D38" w:rsidP="00F54D38">
            <w:pPr>
              <w:spacing w:before="120"/>
              <w:jc w:val="center"/>
              <w:rPr>
                <w:rFonts w:cstheme="minorHAnsi"/>
              </w:rPr>
            </w:pPr>
            <w:r>
              <w:rPr>
                <w:rFonts w:cstheme="minorHAnsi"/>
              </w:rPr>
              <w:t>Number of Charge Points</w:t>
            </w:r>
          </w:p>
        </w:tc>
        <w:tc>
          <w:tcPr>
            <w:tcW w:w="1484" w:type="dxa"/>
          </w:tcPr>
          <w:p w14:paraId="6EDD582C" w14:textId="669A4F44" w:rsidR="00F54D38" w:rsidRDefault="00F54D38" w:rsidP="00F54D38">
            <w:pPr>
              <w:spacing w:before="120"/>
              <w:jc w:val="center"/>
              <w:rPr>
                <w:rFonts w:cstheme="minorHAnsi"/>
              </w:rPr>
            </w:pPr>
            <w:r>
              <w:rPr>
                <w:rFonts w:cstheme="minorHAnsi"/>
              </w:rPr>
              <w:t>EVCP Purchase &amp; Installation Costs</w:t>
            </w:r>
          </w:p>
        </w:tc>
        <w:tc>
          <w:tcPr>
            <w:tcW w:w="1351" w:type="dxa"/>
          </w:tcPr>
          <w:p w14:paraId="3C8C74EA" w14:textId="1211E435" w:rsidR="00F54D38" w:rsidRDefault="00F54D38" w:rsidP="00F54D38">
            <w:pPr>
              <w:spacing w:before="120"/>
              <w:jc w:val="center"/>
              <w:rPr>
                <w:rFonts w:cstheme="minorHAnsi"/>
              </w:rPr>
            </w:pPr>
            <w:r>
              <w:rPr>
                <w:rFonts w:cstheme="minorHAnsi"/>
              </w:rPr>
              <w:t>Connection Costs</w:t>
            </w:r>
          </w:p>
        </w:tc>
        <w:tc>
          <w:tcPr>
            <w:tcW w:w="1219" w:type="dxa"/>
          </w:tcPr>
          <w:p w14:paraId="7CD27544" w14:textId="1980118E" w:rsidR="00F54D38" w:rsidRDefault="00F54D38" w:rsidP="00F54D38">
            <w:pPr>
              <w:spacing w:before="120"/>
              <w:jc w:val="center"/>
              <w:rPr>
                <w:rFonts w:cstheme="minorHAnsi"/>
              </w:rPr>
            </w:pPr>
            <w:r>
              <w:rPr>
                <w:rFonts w:cstheme="minorHAnsi"/>
              </w:rPr>
              <w:t>Total Purchase &amp; Installation</w:t>
            </w:r>
          </w:p>
        </w:tc>
        <w:tc>
          <w:tcPr>
            <w:tcW w:w="1348" w:type="dxa"/>
          </w:tcPr>
          <w:p w14:paraId="736E0242" w14:textId="47901069" w:rsidR="00F54D38" w:rsidRDefault="00F54D38" w:rsidP="00F54D38">
            <w:pPr>
              <w:spacing w:before="120"/>
              <w:jc w:val="center"/>
              <w:rPr>
                <w:rFonts w:cstheme="minorHAnsi"/>
              </w:rPr>
            </w:pPr>
            <w:r>
              <w:rPr>
                <w:rFonts w:cstheme="minorHAnsi"/>
              </w:rPr>
              <w:t>Back Office Costs per annum</w:t>
            </w:r>
          </w:p>
        </w:tc>
        <w:tc>
          <w:tcPr>
            <w:tcW w:w="1400" w:type="dxa"/>
          </w:tcPr>
          <w:p w14:paraId="5E59823B" w14:textId="5929DC49" w:rsidR="00F54D38" w:rsidRDefault="00F54D38" w:rsidP="00F54D38">
            <w:pPr>
              <w:spacing w:before="120"/>
              <w:jc w:val="center"/>
              <w:rPr>
                <w:rFonts w:cstheme="minorHAnsi"/>
              </w:rPr>
            </w:pPr>
            <w:r>
              <w:rPr>
                <w:rFonts w:cstheme="minorHAnsi"/>
              </w:rPr>
              <w:t>Maintenance Costs per annum</w:t>
            </w:r>
          </w:p>
        </w:tc>
        <w:tc>
          <w:tcPr>
            <w:tcW w:w="1144" w:type="dxa"/>
          </w:tcPr>
          <w:p w14:paraId="546733DB" w14:textId="11326FB6" w:rsidR="00F54D38" w:rsidRDefault="00F54D38" w:rsidP="00F54D38">
            <w:pPr>
              <w:spacing w:before="120"/>
              <w:jc w:val="center"/>
              <w:rPr>
                <w:rFonts w:cstheme="minorHAnsi"/>
              </w:rPr>
            </w:pPr>
            <w:r>
              <w:rPr>
                <w:rFonts w:cstheme="minorHAnsi"/>
              </w:rPr>
              <w:t>Annual Running Costs</w:t>
            </w:r>
          </w:p>
        </w:tc>
      </w:tr>
      <w:tr w:rsidR="00F54D38" w14:paraId="08A0969D" w14:textId="163D400A" w:rsidTr="00F54D38">
        <w:trPr>
          <w:jc w:val="center"/>
        </w:trPr>
        <w:tc>
          <w:tcPr>
            <w:tcW w:w="840" w:type="dxa"/>
          </w:tcPr>
          <w:p w14:paraId="51B92B84" w14:textId="35F4B72F" w:rsidR="00F54D38" w:rsidRDefault="00F54D38" w:rsidP="00F54D38">
            <w:pPr>
              <w:spacing w:before="120"/>
              <w:jc w:val="center"/>
              <w:rPr>
                <w:rFonts w:cstheme="minorHAnsi"/>
              </w:rPr>
            </w:pPr>
            <w:r>
              <w:rPr>
                <w:rFonts w:cstheme="minorHAnsi"/>
              </w:rPr>
              <w:t>1</w:t>
            </w:r>
          </w:p>
        </w:tc>
        <w:tc>
          <w:tcPr>
            <w:tcW w:w="998" w:type="dxa"/>
          </w:tcPr>
          <w:p w14:paraId="47C73AA6" w14:textId="3178BE0C" w:rsidR="00F54D38" w:rsidRDefault="00F54D38" w:rsidP="00F54D38">
            <w:pPr>
              <w:spacing w:before="120"/>
              <w:jc w:val="center"/>
              <w:rPr>
                <w:rFonts w:cstheme="minorHAnsi"/>
              </w:rPr>
            </w:pPr>
            <w:r>
              <w:rPr>
                <w:rFonts w:cstheme="minorHAnsi"/>
              </w:rPr>
              <w:t>2</w:t>
            </w:r>
          </w:p>
        </w:tc>
        <w:tc>
          <w:tcPr>
            <w:tcW w:w="1484" w:type="dxa"/>
          </w:tcPr>
          <w:p w14:paraId="4121C806" w14:textId="538AF071" w:rsidR="00F54D38" w:rsidRDefault="00F54D38" w:rsidP="00F54D38">
            <w:pPr>
              <w:spacing w:before="120"/>
              <w:jc w:val="right"/>
              <w:rPr>
                <w:rFonts w:cstheme="minorHAnsi"/>
              </w:rPr>
            </w:pPr>
            <w:r>
              <w:rPr>
                <w:rFonts w:cstheme="minorHAnsi"/>
              </w:rPr>
              <w:t>£8,000</w:t>
            </w:r>
          </w:p>
        </w:tc>
        <w:tc>
          <w:tcPr>
            <w:tcW w:w="1351" w:type="dxa"/>
          </w:tcPr>
          <w:p w14:paraId="4803603A" w14:textId="1F6C41C3" w:rsidR="00F54D38" w:rsidRDefault="00F54D38" w:rsidP="00F54D38">
            <w:pPr>
              <w:spacing w:before="120"/>
              <w:jc w:val="right"/>
              <w:rPr>
                <w:rFonts w:cstheme="minorHAnsi"/>
              </w:rPr>
            </w:pPr>
            <w:r>
              <w:rPr>
                <w:rFonts w:cstheme="minorHAnsi"/>
              </w:rPr>
              <w:t>£602.30</w:t>
            </w:r>
          </w:p>
        </w:tc>
        <w:tc>
          <w:tcPr>
            <w:tcW w:w="1219" w:type="dxa"/>
          </w:tcPr>
          <w:p w14:paraId="0F720D95" w14:textId="3D98D840" w:rsidR="00F54D38" w:rsidRDefault="00F54D38" w:rsidP="00F54D38">
            <w:pPr>
              <w:spacing w:before="120"/>
              <w:jc w:val="right"/>
              <w:rPr>
                <w:rFonts w:cstheme="minorHAnsi"/>
              </w:rPr>
            </w:pPr>
            <w:r>
              <w:rPr>
                <w:rFonts w:cstheme="minorHAnsi"/>
              </w:rPr>
              <w:t>£8,602.30</w:t>
            </w:r>
          </w:p>
        </w:tc>
        <w:tc>
          <w:tcPr>
            <w:tcW w:w="1348" w:type="dxa"/>
          </w:tcPr>
          <w:p w14:paraId="448F66F0" w14:textId="30E9ABD6" w:rsidR="00F54D38" w:rsidRDefault="00F54D38" w:rsidP="00F54D38">
            <w:pPr>
              <w:spacing w:before="120"/>
              <w:jc w:val="right"/>
              <w:rPr>
                <w:rFonts w:cstheme="minorHAnsi"/>
              </w:rPr>
            </w:pPr>
            <w:r>
              <w:rPr>
                <w:rFonts w:cstheme="minorHAnsi"/>
              </w:rPr>
              <w:t>£140.00</w:t>
            </w:r>
          </w:p>
        </w:tc>
        <w:tc>
          <w:tcPr>
            <w:tcW w:w="1400" w:type="dxa"/>
          </w:tcPr>
          <w:p w14:paraId="4C6CE52C" w14:textId="718CF484" w:rsidR="00F54D38" w:rsidRDefault="00F54D38" w:rsidP="00F54D38">
            <w:pPr>
              <w:spacing w:before="120"/>
              <w:jc w:val="right"/>
              <w:rPr>
                <w:rFonts w:cstheme="minorHAnsi"/>
              </w:rPr>
            </w:pPr>
            <w:r>
              <w:rPr>
                <w:rFonts w:cstheme="minorHAnsi"/>
              </w:rPr>
              <w:t>£150.00</w:t>
            </w:r>
          </w:p>
        </w:tc>
        <w:tc>
          <w:tcPr>
            <w:tcW w:w="1144" w:type="dxa"/>
          </w:tcPr>
          <w:p w14:paraId="46CE6D30" w14:textId="6A38D5EF" w:rsidR="00F54D38" w:rsidRDefault="00F54D38" w:rsidP="00F54D38">
            <w:pPr>
              <w:spacing w:before="120"/>
              <w:jc w:val="right"/>
              <w:rPr>
                <w:rFonts w:cstheme="minorHAnsi"/>
              </w:rPr>
            </w:pPr>
            <w:r>
              <w:rPr>
                <w:rFonts w:cstheme="minorHAnsi"/>
              </w:rPr>
              <w:t>£290.00</w:t>
            </w:r>
          </w:p>
        </w:tc>
      </w:tr>
      <w:tr w:rsidR="00F54D38" w14:paraId="0AE18B67" w14:textId="783FB50F" w:rsidTr="00F54D38">
        <w:trPr>
          <w:jc w:val="center"/>
        </w:trPr>
        <w:tc>
          <w:tcPr>
            <w:tcW w:w="840" w:type="dxa"/>
          </w:tcPr>
          <w:p w14:paraId="13BEBF68" w14:textId="082457AD" w:rsidR="00F54D38" w:rsidRDefault="00F54D38" w:rsidP="00F54D38">
            <w:pPr>
              <w:spacing w:before="120"/>
              <w:jc w:val="center"/>
              <w:rPr>
                <w:rFonts w:cstheme="minorHAnsi"/>
              </w:rPr>
            </w:pPr>
            <w:r>
              <w:rPr>
                <w:rFonts w:cstheme="minorHAnsi"/>
              </w:rPr>
              <w:t>2</w:t>
            </w:r>
          </w:p>
        </w:tc>
        <w:tc>
          <w:tcPr>
            <w:tcW w:w="998" w:type="dxa"/>
          </w:tcPr>
          <w:p w14:paraId="17C1BF5E" w14:textId="001FB040" w:rsidR="00F54D38" w:rsidRDefault="00F54D38" w:rsidP="00F54D38">
            <w:pPr>
              <w:spacing w:before="120"/>
              <w:jc w:val="center"/>
              <w:rPr>
                <w:rFonts w:cstheme="minorHAnsi"/>
              </w:rPr>
            </w:pPr>
            <w:r>
              <w:rPr>
                <w:rFonts w:cstheme="minorHAnsi"/>
              </w:rPr>
              <w:t>8</w:t>
            </w:r>
          </w:p>
        </w:tc>
        <w:tc>
          <w:tcPr>
            <w:tcW w:w="1484" w:type="dxa"/>
          </w:tcPr>
          <w:p w14:paraId="7ED730AB" w14:textId="080B9FCD" w:rsidR="00F54D38" w:rsidRDefault="00F54D38" w:rsidP="00F54D38">
            <w:pPr>
              <w:spacing w:before="120"/>
              <w:jc w:val="right"/>
              <w:rPr>
                <w:rFonts w:cstheme="minorHAnsi"/>
              </w:rPr>
            </w:pPr>
            <w:r>
              <w:rPr>
                <w:rFonts w:cstheme="minorHAnsi"/>
              </w:rPr>
              <w:t>£32,000</w:t>
            </w:r>
          </w:p>
        </w:tc>
        <w:tc>
          <w:tcPr>
            <w:tcW w:w="1351" w:type="dxa"/>
          </w:tcPr>
          <w:p w14:paraId="207300D1" w14:textId="0032B2A4" w:rsidR="00F54D38" w:rsidRDefault="00F54D38" w:rsidP="00F54D38">
            <w:pPr>
              <w:spacing w:before="120"/>
              <w:jc w:val="right"/>
              <w:rPr>
                <w:rFonts w:cstheme="minorHAnsi"/>
              </w:rPr>
            </w:pPr>
            <w:r>
              <w:rPr>
                <w:rFonts w:cstheme="minorHAnsi"/>
              </w:rPr>
              <w:t>£602.30</w:t>
            </w:r>
          </w:p>
        </w:tc>
        <w:tc>
          <w:tcPr>
            <w:tcW w:w="1219" w:type="dxa"/>
          </w:tcPr>
          <w:p w14:paraId="315A687D" w14:textId="68998DAC" w:rsidR="00F54D38" w:rsidRDefault="00F54D38" w:rsidP="00F54D38">
            <w:pPr>
              <w:spacing w:before="120"/>
              <w:jc w:val="right"/>
              <w:rPr>
                <w:rFonts w:cstheme="minorHAnsi"/>
              </w:rPr>
            </w:pPr>
            <w:r>
              <w:rPr>
                <w:rFonts w:cstheme="minorHAnsi"/>
              </w:rPr>
              <w:t>£32,602.30</w:t>
            </w:r>
          </w:p>
        </w:tc>
        <w:tc>
          <w:tcPr>
            <w:tcW w:w="1348" w:type="dxa"/>
          </w:tcPr>
          <w:p w14:paraId="76F30C97" w14:textId="257FC2A1" w:rsidR="00F54D38" w:rsidRDefault="00F54D38" w:rsidP="00F54D38">
            <w:pPr>
              <w:spacing w:before="120"/>
              <w:jc w:val="right"/>
              <w:rPr>
                <w:rFonts w:cstheme="minorHAnsi"/>
              </w:rPr>
            </w:pPr>
            <w:r>
              <w:rPr>
                <w:rFonts w:cstheme="minorHAnsi"/>
              </w:rPr>
              <w:t>£576.00</w:t>
            </w:r>
          </w:p>
        </w:tc>
        <w:tc>
          <w:tcPr>
            <w:tcW w:w="1400" w:type="dxa"/>
          </w:tcPr>
          <w:p w14:paraId="653705AC" w14:textId="7F2EE55A" w:rsidR="00F54D38" w:rsidRDefault="00F54D38" w:rsidP="00F54D38">
            <w:pPr>
              <w:spacing w:before="120"/>
              <w:jc w:val="right"/>
              <w:rPr>
                <w:rFonts w:cstheme="minorHAnsi"/>
              </w:rPr>
            </w:pPr>
            <w:r>
              <w:rPr>
                <w:rFonts w:cstheme="minorHAnsi"/>
              </w:rPr>
              <w:t>£600.00</w:t>
            </w:r>
          </w:p>
        </w:tc>
        <w:tc>
          <w:tcPr>
            <w:tcW w:w="1144" w:type="dxa"/>
          </w:tcPr>
          <w:p w14:paraId="3F11EC7F" w14:textId="19ED3F0F" w:rsidR="00F54D38" w:rsidRDefault="00F54D38" w:rsidP="00F54D38">
            <w:pPr>
              <w:spacing w:before="120"/>
              <w:jc w:val="right"/>
              <w:rPr>
                <w:rFonts w:cstheme="minorHAnsi"/>
              </w:rPr>
            </w:pPr>
            <w:r>
              <w:rPr>
                <w:rFonts w:cstheme="minorHAnsi"/>
              </w:rPr>
              <w:t>£1,176.00</w:t>
            </w:r>
          </w:p>
        </w:tc>
      </w:tr>
    </w:tbl>
    <w:p w14:paraId="71863800" w14:textId="3AAC9015" w:rsidR="001D5ED7" w:rsidRPr="008E25CE" w:rsidRDefault="00ED2225" w:rsidP="008E25CE">
      <w:pPr>
        <w:spacing w:before="120" w:after="0" w:line="240" w:lineRule="auto"/>
        <w:rPr>
          <w:rFonts w:cstheme="minorHAnsi"/>
        </w:rPr>
      </w:pPr>
      <w:r w:rsidRPr="008E25CE">
        <w:rPr>
          <w:rFonts w:cstheme="minorHAnsi"/>
        </w:rPr>
        <w:lastRenderedPageBreak/>
        <w:t xml:space="preserve"> </w:t>
      </w:r>
    </w:p>
    <w:p w14:paraId="65AC8538" w14:textId="77777777" w:rsidR="00FF2705" w:rsidRDefault="00FF2705" w:rsidP="00FF2705">
      <w:pPr>
        <w:pStyle w:val="ListParagraph"/>
        <w:numPr>
          <w:ilvl w:val="0"/>
          <w:numId w:val="2"/>
        </w:numPr>
        <w:spacing w:before="120" w:after="0" w:line="240" w:lineRule="auto"/>
        <w:ind w:left="709" w:hanging="283"/>
        <w:contextualSpacing w:val="0"/>
        <w:rPr>
          <w:rFonts w:cstheme="minorHAnsi"/>
        </w:rPr>
      </w:pPr>
      <w:proofErr w:type="spellStart"/>
      <w:r>
        <w:rPr>
          <w:rFonts w:cstheme="minorHAnsi"/>
        </w:rPr>
        <w:t>JoJu</w:t>
      </w:r>
      <w:proofErr w:type="spellEnd"/>
      <w:r>
        <w:rPr>
          <w:rFonts w:cstheme="minorHAnsi"/>
        </w:rPr>
        <w:t xml:space="preserve"> have also looked at two o</w:t>
      </w:r>
      <w:r w:rsidR="00F54D38" w:rsidRPr="00FF2705">
        <w:rPr>
          <w:rFonts w:cstheme="minorHAnsi"/>
        </w:rPr>
        <w:t>ptions</w:t>
      </w:r>
      <w:r>
        <w:rPr>
          <w:rFonts w:cstheme="minorHAnsi"/>
        </w:rPr>
        <w:t xml:space="preserve"> in terms of funding of the purchase and installation of the EVCPs. The first option is for </w:t>
      </w:r>
      <w:proofErr w:type="spellStart"/>
      <w:r>
        <w:rPr>
          <w:rFonts w:cstheme="minorHAnsi"/>
        </w:rPr>
        <w:t>Vatenfall</w:t>
      </w:r>
      <w:proofErr w:type="spellEnd"/>
      <w:r>
        <w:rPr>
          <w:rFonts w:cstheme="minorHAnsi"/>
        </w:rPr>
        <w:t xml:space="preserve"> to fund the units, and the second option is for the Lytchett Matravers Parish Council to fund the units. The following conditions apply to these two options:</w:t>
      </w:r>
    </w:p>
    <w:p w14:paraId="0CE90267" w14:textId="77777777" w:rsidR="00FF2705" w:rsidRDefault="00FF2705" w:rsidP="00FF2705">
      <w:pPr>
        <w:pStyle w:val="ListParagraph"/>
        <w:numPr>
          <w:ilvl w:val="1"/>
          <w:numId w:val="2"/>
        </w:numPr>
        <w:spacing w:before="120" w:after="0" w:line="240" w:lineRule="auto"/>
        <w:contextualSpacing w:val="0"/>
        <w:rPr>
          <w:rFonts w:cstheme="minorHAnsi"/>
        </w:rPr>
      </w:pPr>
      <w:proofErr w:type="spellStart"/>
      <w:r>
        <w:rPr>
          <w:rFonts w:cstheme="minorHAnsi"/>
        </w:rPr>
        <w:t>Vatenfall</w:t>
      </w:r>
      <w:proofErr w:type="spellEnd"/>
      <w:r>
        <w:rPr>
          <w:rFonts w:cstheme="minorHAnsi"/>
        </w:rPr>
        <w:t xml:space="preserve"> fund the purchase and installation</w:t>
      </w:r>
    </w:p>
    <w:p w14:paraId="160325AB" w14:textId="5259C9B7" w:rsidR="00FF2705" w:rsidRDefault="00FF2705" w:rsidP="00FF2705">
      <w:pPr>
        <w:pStyle w:val="ListParagraph"/>
        <w:numPr>
          <w:ilvl w:val="2"/>
          <w:numId w:val="2"/>
        </w:numPr>
        <w:spacing w:before="120" w:after="0" w:line="240" w:lineRule="auto"/>
        <w:contextualSpacing w:val="0"/>
        <w:rPr>
          <w:rFonts w:cstheme="minorHAnsi"/>
        </w:rPr>
      </w:pPr>
      <w:proofErr w:type="spellStart"/>
      <w:r>
        <w:rPr>
          <w:rFonts w:cstheme="minorHAnsi"/>
        </w:rPr>
        <w:t>Vatenfall</w:t>
      </w:r>
      <w:proofErr w:type="spellEnd"/>
      <w:r>
        <w:rPr>
          <w:rFonts w:cstheme="minorHAnsi"/>
        </w:rPr>
        <w:t xml:space="preserve"> do not believe there will be sufficient usage to justify 8 EVCPs. They are therefore only willing to pay for 2 EVCPs to be installed.</w:t>
      </w:r>
      <w:r w:rsidR="003A528F">
        <w:rPr>
          <w:rFonts w:cstheme="minorHAnsi"/>
        </w:rPr>
        <w:t xml:space="preserve"> However, if usage is sufficient, additional EVCPs could be added in the future.</w:t>
      </w:r>
    </w:p>
    <w:p w14:paraId="5B83E026" w14:textId="77777777" w:rsidR="00FF2C18" w:rsidRPr="00FF2C18" w:rsidRDefault="00FF2C18" w:rsidP="00FF2C18">
      <w:pPr>
        <w:pStyle w:val="ListParagraph"/>
        <w:numPr>
          <w:ilvl w:val="2"/>
          <w:numId w:val="2"/>
        </w:numPr>
        <w:spacing w:before="120" w:after="0" w:line="240" w:lineRule="auto"/>
        <w:contextualSpacing w:val="0"/>
        <w:rPr>
          <w:rFonts w:cstheme="minorHAnsi"/>
        </w:rPr>
      </w:pPr>
      <w:r w:rsidRPr="00FF2C18">
        <w:rPr>
          <w:rFonts w:cstheme="minorHAnsi"/>
        </w:rPr>
        <w:t xml:space="preserve">We have asked </w:t>
      </w:r>
      <w:proofErr w:type="spellStart"/>
      <w:r w:rsidRPr="00FF2C18">
        <w:rPr>
          <w:rFonts w:cstheme="minorHAnsi"/>
        </w:rPr>
        <w:t>JoJu</w:t>
      </w:r>
      <w:proofErr w:type="spellEnd"/>
      <w:r w:rsidRPr="00FF2C18">
        <w:rPr>
          <w:rFonts w:cstheme="minorHAnsi"/>
        </w:rPr>
        <w:t xml:space="preserve"> to explore with </w:t>
      </w:r>
      <w:proofErr w:type="spellStart"/>
      <w:r w:rsidRPr="00FF2C18">
        <w:rPr>
          <w:rFonts w:cstheme="minorHAnsi"/>
        </w:rPr>
        <w:t>Vatenfall</w:t>
      </w:r>
      <w:proofErr w:type="spellEnd"/>
      <w:r w:rsidRPr="00FF2C18">
        <w:rPr>
          <w:rFonts w:cstheme="minorHAnsi"/>
        </w:rPr>
        <w:t xml:space="preserve"> whether they would be willing to fund 4 EVCPs instead of only 2.</w:t>
      </w:r>
    </w:p>
    <w:p w14:paraId="26A5C040" w14:textId="2173E879" w:rsidR="00FF2705" w:rsidRDefault="00FF2705" w:rsidP="00FF2705">
      <w:pPr>
        <w:pStyle w:val="ListParagraph"/>
        <w:numPr>
          <w:ilvl w:val="2"/>
          <w:numId w:val="2"/>
        </w:numPr>
        <w:spacing w:before="120" w:after="0" w:line="240" w:lineRule="auto"/>
        <w:contextualSpacing w:val="0"/>
        <w:rPr>
          <w:rFonts w:cstheme="minorHAnsi"/>
        </w:rPr>
      </w:pPr>
      <w:proofErr w:type="spellStart"/>
      <w:r>
        <w:rPr>
          <w:rFonts w:cstheme="minorHAnsi"/>
        </w:rPr>
        <w:t>Vatenfall</w:t>
      </w:r>
      <w:proofErr w:type="spellEnd"/>
      <w:r>
        <w:rPr>
          <w:rFonts w:cstheme="minorHAnsi"/>
        </w:rPr>
        <w:t xml:space="preserve"> will charge users 30p per kWh. This is within the typical range of prices for commercial EVPCs.</w:t>
      </w:r>
    </w:p>
    <w:p w14:paraId="788B2DBC" w14:textId="77777777" w:rsidR="008F0802" w:rsidRDefault="008F0802" w:rsidP="008F0802">
      <w:pPr>
        <w:pStyle w:val="ListParagraph"/>
        <w:numPr>
          <w:ilvl w:val="2"/>
          <w:numId w:val="2"/>
        </w:numPr>
        <w:spacing w:before="120" w:after="0" w:line="240" w:lineRule="auto"/>
        <w:contextualSpacing w:val="0"/>
        <w:rPr>
          <w:rFonts w:cstheme="minorHAnsi"/>
        </w:rPr>
      </w:pPr>
      <w:proofErr w:type="spellStart"/>
      <w:r>
        <w:rPr>
          <w:rFonts w:cstheme="minorHAnsi"/>
        </w:rPr>
        <w:t>Vatenfall</w:t>
      </w:r>
      <w:proofErr w:type="spellEnd"/>
      <w:r>
        <w:rPr>
          <w:rFonts w:cstheme="minorHAnsi"/>
        </w:rPr>
        <w:t xml:space="preserve"> would pay the Annual Running Costs and the costs of providing the electricity.</w:t>
      </w:r>
    </w:p>
    <w:p w14:paraId="0E666B21" w14:textId="77777777" w:rsidR="008F0802" w:rsidRDefault="008F0802" w:rsidP="008F0802">
      <w:pPr>
        <w:pStyle w:val="ListParagraph"/>
        <w:numPr>
          <w:ilvl w:val="2"/>
          <w:numId w:val="2"/>
        </w:numPr>
        <w:spacing w:before="120" w:after="0" w:line="240" w:lineRule="auto"/>
        <w:contextualSpacing w:val="0"/>
        <w:rPr>
          <w:rFonts w:cstheme="minorHAnsi"/>
        </w:rPr>
      </w:pPr>
      <w:proofErr w:type="spellStart"/>
      <w:r>
        <w:rPr>
          <w:rFonts w:cstheme="minorHAnsi"/>
        </w:rPr>
        <w:t>Vatenfall</w:t>
      </w:r>
      <w:proofErr w:type="spellEnd"/>
      <w:r>
        <w:rPr>
          <w:rFonts w:cstheme="minorHAnsi"/>
        </w:rPr>
        <w:t xml:space="preserve"> would pay 10% of the value of the electricity used to the Lytchett Matravers Parish Council.</w:t>
      </w:r>
    </w:p>
    <w:p w14:paraId="75587D03" w14:textId="6D3CE86E" w:rsidR="008F0802" w:rsidRDefault="004E42D0" w:rsidP="00FF2705">
      <w:pPr>
        <w:pStyle w:val="ListParagraph"/>
        <w:numPr>
          <w:ilvl w:val="2"/>
          <w:numId w:val="2"/>
        </w:numPr>
        <w:spacing w:before="120" w:after="0" w:line="240" w:lineRule="auto"/>
        <w:contextualSpacing w:val="0"/>
        <w:rPr>
          <w:rFonts w:cstheme="minorHAnsi"/>
        </w:rPr>
      </w:pPr>
      <w:r>
        <w:rPr>
          <w:rFonts w:cstheme="minorHAnsi"/>
        </w:rPr>
        <w:t>Based on various assumptions, including the occupancy of each EVCP parking bay, and an electricity tari</w:t>
      </w:r>
      <w:r w:rsidR="008F0802">
        <w:rPr>
          <w:rFonts w:cstheme="minorHAnsi"/>
        </w:rPr>
        <w:t>f</w:t>
      </w:r>
      <w:r>
        <w:rPr>
          <w:rFonts w:cstheme="minorHAnsi"/>
        </w:rPr>
        <w:t xml:space="preserve">f of 12p per kWh, </w:t>
      </w:r>
      <w:r w:rsidR="008F0802">
        <w:rPr>
          <w:rFonts w:cstheme="minorHAnsi"/>
        </w:rPr>
        <w:t xml:space="preserve">the forecast income and profit </w:t>
      </w:r>
      <w:r w:rsidR="0023504A">
        <w:rPr>
          <w:rFonts w:cstheme="minorHAnsi"/>
        </w:rPr>
        <w:t xml:space="preserve">in year 1 </w:t>
      </w:r>
      <w:r w:rsidR="008F0802">
        <w:rPr>
          <w:rFonts w:cstheme="minorHAnsi"/>
        </w:rPr>
        <w:t>for 2 Charge Points would be as shown in the table below.</w:t>
      </w:r>
      <w:r w:rsidR="0023504A">
        <w:rPr>
          <w:rFonts w:cstheme="minorHAnsi"/>
        </w:rPr>
        <w:t xml:space="preserve">  </w:t>
      </w:r>
    </w:p>
    <w:p w14:paraId="79D48C88" w14:textId="77777777" w:rsidR="008F0802" w:rsidRPr="008F0802" w:rsidRDefault="008F0802" w:rsidP="008F0802">
      <w:pPr>
        <w:spacing w:before="120" w:after="0" w:line="240" w:lineRule="auto"/>
        <w:ind w:left="1800"/>
        <w:rPr>
          <w:rFonts w:cstheme="minorHAnsi"/>
        </w:rPr>
      </w:pPr>
    </w:p>
    <w:tbl>
      <w:tblPr>
        <w:tblStyle w:val="TableGrid"/>
        <w:tblW w:w="7878" w:type="dxa"/>
        <w:jc w:val="center"/>
        <w:tblLook w:val="04A0" w:firstRow="1" w:lastRow="0" w:firstColumn="1" w:lastColumn="0" w:noHBand="0" w:noVBand="1"/>
      </w:tblPr>
      <w:tblGrid>
        <w:gridCol w:w="851"/>
        <w:gridCol w:w="992"/>
        <w:gridCol w:w="1276"/>
        <w:gridCol w:w="1129"/>
        <w:gridCol w:w="1134"/>
        <w:gridCol w:w="1276"/>
        <w:gridCol w:w="1220"/>
      </w:tblGrid>
      <w:tr w:rsidR="0023504A" w14:paraId="04077E72" w14:textId="7AFA7187" w:rsidTr="008F0802">
        <w:trPr>
          <w:jc w:val="center"/>
        </w:trPr>
        <w:tc>
          <w:tcPr>
            <w:tcW w:w="851" w:type="dxa"/>
          </w:tcPr>
          <w:p w14:paraId="68CC77AA" w14:textId="5B089297" w:rsidR="008F0802" w:rsidRDefault="008F0802" w:rsidP="008F0802">
            <w:pPr>
              <w:spacing w:before="120"/>
              <w:jc w:val="center"/>
              <w:rPr>
                <w:rFonts w:cstheme="minorHAnsi"/>
              </w:rPr>
            </w:pPr>
            <w:r>
              <w:rPr>
                <w:rFonts w:cstheme="minorHAnsi"/>
              </w:rPr>
              <w:t>Option</w:t>
            </w:r>
          </w:p>
        </w:tc>
        <w:tc>
          <w:tcPr>
            <w:tcW w:w="992" w:type="dxa"/>
          </w:tcPr>
          <w:p w14:paraId="0717A1DB" w14:textId="321BD961" w:rsidR="008F0802" w:rsidRDefault="008F0802" w:rsidP="008F0802">
            <w:pPr>
              <w:spacing w:before="120"/>
              <w:jc w:val="center"/>
              <w:rPr>
                <w:rFonts w:cstheme="minorHAnsi"/>
              </w:rPr>
            </w:pPr>
            <w:r>
              <w:rPr>
                <w:rFonts w:cstheme="minorHAnsi"/>
              </w:rPr>
              <w:t>Number of Charge Points</w:t>
            </w:r>
          </w:p>
        </w:tc>
        <w:tc>
          <w:tcPr>
            <w:tcW w:w="1276" w:type="dxa"/>
          </w:tcPr>
          <w:p w14:paraId="30A91405" w14:textId="4469B2AC" w:rsidR="008F0802" w:rsidRDefault="008F0802" w:rsidP="008F0802">
            <w:pPr>
              <w:spacing w:before="120"/>
              <w:jc w:val="center"/>
              <w:rPr>
                <w:rFonts w:cstheme="minorHAnsi"/>
              </w:rPr>
            </w:pPr>
            <w:r>
              <w:rPr>
                <w:rFonts w:cstheme="minorHAnsi"/>
              </w:rPr>
              <w:t>Estimated kWh per annum</w:t>
            </w:r>
          </w:p>
        </w:tc>
        <w:tc>
          <w:tcPr>
            <w:tcW w:w="1129" w:type="dxa"/>
          </w:tcPr>
          <w:p w14:paraId="6171C5E7" w14:textId="38920990" w:rsidR="008F0802" w:rsidRDefault="008F0802" w:rsidP="008F0802">
            <w:pPr>
              <w:spacing w:before="120"/>
              <w:jc w:val="center"/>
              <w:rPr>
                <w:rFonts w:cstheme="minorHAnsi"/>
              </w:rPr>
            </w:pPr>
            <w:r>
              <w:rPr>
                <w:rFonts w:cstheme="minorHAnsi"/>
              </w:rPr>
              <w:t>Annual Electricity Costs</w:t>
            </w:r>
          </w:p>
        </w:tc>
        <w:tc>
          <w:tcPr>
            <w:tcW w:w="1134" w:type="dxa"/>
          </w:tcPr>
          <w:p w14:paraId="64C210B3" w14:textId="460099A3" w:rsidR="008F0802" w:rsidRDefault="0023504A" w:rsidP="008F0802">
            <w:pPr>
              <w:spacing w:before="120"/>
              <w:jc w:val="center"/>
              <w:rPr>
                <w:rFonts w:cstheme="minorHAnsi"/>
              </w:rPr>
            </w:pPr>
            <w:r>
              <w:rPr>
                <w:rFonts w:cstheme="minorHAnsi"/>
              </w:rPr>
              <w:t>Year 1</w:t>
            </w:r>
            <w:r w:rsidR="008F0802">
              <w:rPr>
                <w:rFonts w:cstheme="minorHAnsi"/>
              </w:rPr>
              <w:t xml:space="preserve"> Income</w:t>
            </w:r>
          </w:p>
        </w:tc>
        <w:tc>
          <w:tcPr>
            <w:tcW w:w="1276" w:type="dxa"/>
          </w:tcPr>
          <w:p w14:paraId="4916DCEE" w14:textId="423CA41F" w:rsidR="008F0802" w:rsidRDefault="0023504A" w:rsidP="008F0802">
            <w:pPr>
              <w:spacing w:before="120"/>
              <w:jc w:val="center"/>
              <w:rPr>
                <w:rFonts w:cstheme="minorHAnsi"/>
              </w:rPr>
            </w:pPr>
            <w:r>
              <w:rPr>
                <w:rFonts w:cstheme="minorHAnsi"/>
              </w:rPr>
              <w:t>Year 1</w:t>
            </w:r>
            <w:r w:rsidR="008F0802">
              <w:rPr>
                <w:rFonts w:cstheme="minorHAnsi"/>
              </w:rPr>
              <w:t xml:space="preserve"> Profit</w:t>
            </w:r>
          </w:p>
        </w:tc>
        <w:tc>
          <w:tcPr>
            <w:tcW w:w="1220" w:type="dxa"/>
          </w:tcPr>
          <w:p w14:paraId="74E241CC" w14:textId="46ECA49D" w:rsidR="008F0802" w:rsidRDefault="0023504A" w:rsidP="008F0802">
            <w:pPr>
              <w:spacing w:before="120"/>
              <w:jc w:val="center"/>
              <w:rPr>
                <w:rFonts w:cstheme="minorHAnsi"/>
              </w:rPr>
            </w:pPr>
            <w:r>
              <w:rPr>
                <w:rFonts w:cstheme="minorHAnsi"/>
              </w:rPr>
              <w:t xml:space="preserve">Year 1 </w:t>
            </w:r>
            <w:r w:rsidR="008F0802">
              <w:rPr>
                <w:rFonts w:cstheme="minorHAnsi"/>
              </w:rPr>
              <w:t>Payment to LMPC</w:t>
            </w:r>
          </w:p>
        </w:tc>
      </w:tr>
      <w:tr w:rsidR="0023504A" w14:paraId="060C5D2C" w14:textId="270335C2" w:rsidTr="008F0802">
        <w:trPr>
          <w:jc w:val="center"/>
        </w:trPr>
        <w:tc>
          <w:tcPr>
            <w:tcW w:w="851" w:type="dxa"/>
          </w:tcPr>
          <w:p w14:paraId="2E8A7F9B" w14:textId="72EC9C4B" w:rsidR="008F0802" w:rsidRDefault="008F0802" w:rsidP="008F0802">
            <w:pPr>
              <w:spacing w:before="120"/>
              <w:jc w:val="center"/>
              <w:rPr>
                <w:rFonts w:cstheme="minorHAnsi"/>
              </w:rPr>
            </w:pPr>
            <w:r>
              <w:rPr>
                <w:rFonts w:cstheme="minorHAnsi"/>
              </w:rPr>
              <w:t>1</w:t>
            </w:r>
          </w:p>
        </w:tc>
        <w:tc>
          <w:tcPr>
            <w:tcW w:w="992" w:type="dxa"/>
          </w:tcPr>
          <w:p w14:paraId="124E2CE3" w14:textId="7A34E998" w:rsidR="008F0802" w:rsidRDefault="008F0802" w:rsidP="008F0802">
            <w:pPr>
              <w:spacing w:before="120"/>
              <w:jc w:val="center"/>
              <w:rPr>
                <w:rFonts w:cstheme="minorHAnsi"/>
              </w:rPr>
            </w:pPr>
            <w:r>
              <w:rPr>
                <w:rFonts w:cstheme="minorHAnsi"/>
              </w:rPr>
              <w:t>2</w:t>
            </w:r>
          </w:p>
        </w:tc>
        <w:tc>
          <w:tcPr>
            <w:tcW w:w="1276" w:type="dxa"/>
          </w:tcPr>
          <w:p w14:paraId="5C1CB031" w14:textId="10534AFB" w:rsidR="008F0802" w:rsidRDefault="008F0802" w:rsidP="008F0802">
            <w:pPr>
              <w:spacing w:before="120"/>
              <w:jc w:val="center"/>
              <w:rPr>
                <w:rFonts w:cstheme="minorHAnsi"/>
              </w:rPr>
            </w:pPr>
            <w:r>
              <w:rPr>
                <w:rFonts w:cstheme="minorHAnsi"/>
              </w:rPr>
              <w:t>3608</w:t>
            </w:r>
          </w:p>
        </w:tc>
        <w:tc>
          <w:tcPr>
            <w:tcW w:w="1129" w:type="dxa"/>
          </w:tcPr>
          <w:p w14:paraId="53A03CB0" w14:textId="0932BD8E" w:rsidR="008F0802" w:rsidRDefault="008F0802" w:rsidP="008F0802">
            <w:pPr>
              <w:spacing w:before="120"/>
              <w:jc w:val="right"/>
              <w:rPr>
                <w:rFonts w:cstheme="minorHAnsi"/>
              </w:rPr>
            </w:pPr>
            <w:r>
              <w:rPr>
                <w:rFonts w:cstheme="minorHAnsi"/>
              </w:rPr>
              <w:t>£432.96</w:t>
            </w:r>
          </w:p>
        </w:tc>
        <w:tc>
          <w:tcPr>
            <w:tcW w:w="1134" w:type="dxa"/>
          </w:tcPr>
          <w:p w14:paraId="45451390" w14:textId="551361AC" w:rsidR="008F0802" w:rsidRDefault="008F0802" w:rsidP="008F0802">
            <w:pPr>
              <w:spacing w:before="120"/>
              <w:jc w:val="right"/>
              <w:rPr>
                <w:rFonts w:cstheme="minorHAnsi"/>
              </w:rPr>
            </w:pPr>
            <w:r>
              <w:rPr>
                <w:rFonts w:cstheme="minorHAnsi"/>
              </w:rPr>
              <w:t>£1,082.32</w:t>
            </w:r>
          </w:p>
        </w:tc>
        <w:tc>
          <w:tcPr>
            <w:tcW w:w="1276" w:type="dxa"/>
          </w:tcPr>
          <w:p w14:paraId="15225D7F" w14:textId="6ADC10A7" w:rsidR="008F0802" w:rsidRDefault="008F0802" w:rsidP="008F0802">
            <w:pPr>
              <w:spacing w:before="120"/>
              <w:jc w:val="right"/>
              <w:rPr>
                <w:rFonts w:cstheme="minorHAnsi"/>
              </w:rPr>
            </w:pPr>
            <w:r>
              <w:rPr>
                <w:rFonts w:cstheme="minorHAnsi"/>
              </w:rPr>
              <w:t>£3</w:t>
            </w:r>
            <w:r w:rsidR="0023504A">
              <w:rPr>
                <w:rFonts w:cstheme="minorHAnsi"/>
              </w:rPr>
              <w:t>16.10</w:t>
            </w:r>
          </w:p>
        </w:tc>
        <w:tc>
          <w:tcPr>
            <w:tcW w:w="1220" w:type="dxa"/>
          </w:tcPr>
          <w:p w14:paraId="413216B0" w14:textId="49389C84" w:rsidR="008F0802" w:rsidRDefault="008F0802" w:rsidP="008F0802">
            <w:pPr>
              <w:spacing w:before="120"/>
              <w:jc w:val="right"/>
              <w:rPr>
                <w:rFonts w:cstheme="minorHAnsi"/>
              </w:rPr>
            </w:pPr>
            <w:r>
              <w:rPr>
                <w:rFonts w:cstheme="minorHAnsi"/>
              </w:rPr>
              <w:t>£43.30</w:t>
            </w:r>
          </w:p>
        </w:tc>
      </w:tr>
    </w:tbl>
    <w:p w14:paraId="31408306" w14:textId="73C9C375" w:rsidR="004E42D0" w:rsidRPr="008F0802" w:rsidRDefault="004E42D0" w:rsidP="008F0802">
      <w:pPr>
        <w:spacing w:before="120" w:after="0" w:line="240" w:lineRule="auto"/>
        <w:rPr>
          <w:rFonts w:cstheme="minorHAnsi"/>
        </w:rPr>
      </w:pPr>
    </w:p>
    <w:p w14:paraId="1438AF0E" w14:textId="77777777" w:rsidR="004E42D0" w:rsidRDefault="00FF2705" w:rsidP="00FF2705">
      <w:pPr>
        <w:pStyle w:val="ListParagraph"/>
        <w:numPr>
          <w:ilvl w:val="2"/>
          <w:numId w:val="2"/>
        </w:numPr>
        <w:spacing w:before="120" w:after="0" w:line="240" w:lineRule="auto"/>
        <w:contextualSpacing w:val="0"/>
        <w:rPr>
          <w:rFonts w:cstheme="minorHAnsi"/>
        </w:rPr>
      </w:pPr>
      <w:r>
        <w:rPr>
          <w:rFonts w:cstheme="minorHAnsi"/>
        </w:rPr>
        <w:t xml:space="preserve">The Parish Council would be required to introduce a Traffic Regulation or Traffic Management Order to ensure that the EV Charging Bays are used solely by electric vehicles using the EVCPs. </w:t>
      </w:r>
      <w:r w:rsidR="004E42D0">
        <w:rPr>
          <w:rFonts w:cstheme="minorHAnsi"/>
        </w:rPr>
        <w:t>The procedure for putting TROs/TMOs in place involves a 21 day public consultation period.</w:t>
      </w:r>
    </w:p>
    <w:p w14:paraId="29C7BEF1" w14:textId="7C7777FF" w:rsidR="004E42D0" w:rsidRDefault="004E42D0" w:rsidP="004E42D0">
      <w:pPr>
        <w:pStyle w:val="ListParagraph"/>
        <w:numPr>
          <w:ilvl w:val="2"/>
          <w:numId w:val="2"/>
        </w:numPr>
        <w:spacing w:before="120" w:after="0" w:line="240" w:lineRule="auto"/>
        <w:contextualSpacing w:val="0"/>
        <w:rPr>
          <w:rFonts w:cstheme="minorHAnsi"/>
        </w:rPr>
      </w:pPr>
      <w:proofErr w:type="spellStart"/>
      <w:r>
        <w:rPr>
          <w:rFonts w:cstheme="minorHAnsi"/>
        </w:rPr>
        <w:t>Vatenfall’s</w:t>
      </w:r>
      <w:proofErr w:type="spellEnd"/>
      <w:r>
        <w:rPr>
          <w:rFonts w:cstheme="minorHAnsi"/>
        </w:rPr>
        <w:t xml:space="preserve"> target is to achieve a cumulative profit (income minus all relevant costs) of 6 times the purchase and installation costs. </w:t>
      </w:r>
      <w:proofErr w:type="spellStart"/>
      <w:r w:rsidR="0023504A">
        <w:rPr>
          <w:rFonts w:cstheme="minorHAnsi"/>
        </w:rPr>
        <w:t>JoJu</w:t>
      </w:r>
      <w:proofErr w:type="spellEnd"/>
      <w:r w:rsidR="0023504A">
        <w:rPr>
          <w:rFonts w:cstheme="minorHAnsi"/>
        </w:rPr>
        <w:t xml:space="preserve"> use a number of escalation factors to calculate forecast income and profit after year 1, and t</w:t>
      </w:r>
      <w:r>
        <w:rPr>
          <w:rFonts w:cstheme="minorHAnsi"/>
        </w:rPr>
        <w:t>he</w:t>
      </w:r>
      <w:r w:rsidR="0023504A">
        <w:rPr>
          <w:rFonts w:cstheme="minorHAnsi"/>
        </w:rPr>
        <w:t xml:space="preserve"> resulting</w:t>
      </w:r>
      <w:r>
        <w:rPr>
          <w:rFonts w:cstheme="minorHAnsi"/>
        </w:rPr>
        <w:t xml:space="preserve"> forecast is that th</w:t>
      </w:r>
      <w:r w:rsidR="0023504A">
        <w:rPr>
          <w:rFonts w:cstheme="minorHAnsi"/>
        </w:rPr>
        <w:t xml:space="preserve">e cumulative profit would reach </w:t>
      </w:r>
      <w:proofErr w:type="spellStart"/>
      <w:r w:rsidR="0023504A">
        <w:rPr>
          <w:rFonts w:cstheme="minorHAnsi"/>
        </w:rPr>
        <w:t>Vatenfall’s</w:t>
      </w:r>
      <w:proofErr w:type="spellEnd"/>
      <w:r w:rsidR="0023504A">
        <w:rPr>
          <w:rFonts w:cstheme="minorHAnsi"/>
        </w:rPr>
        <w:t xml:space="preserve"> target after about 23</w:t>
      </w:r>
      <w:r>
        <w:rPr>
          <w:rFonts w:cstheme="minorHAnsi"/>
        </w:rPr>
        <w:t xml:space="preserve"> years. </w:t>
      </w:r>
      <w:proofErr w:type="spellStart"/>
      <w:r w:rsidR="008F0802">
        <w:rPr>
          <w:rFonts w:cstheme="minorHAnsi"/>
        </w:rPr>
        <w:t>Vatenfall</w:t>
      </w:r>
      <w:proofErr w:type="spellEnd"/>
      <w:r w:rsidR="008F0802">
        <w:rPr>
          <w:rFonts w:cstheme="minorHAnsi"/>
        </w:rPr>
        <w:t xml:space="preserve"> would retain ownership of the EVCPs throughout this period</w:t>
      </w:r>
      <w:r>
        <w:rPr>
          <w:rFonts w:cstheme="minorHAnsi"/>
        </w:rPr>
        <w:t xml:space="preserve">, </w:t>
      </w:r>
      <w:r w:rsidR="008F0802">
        <w:rPr>
          <w:rFonts w:cstheme="minorHAnsi"/>
        </w:rPr>
        <w:t xml:space="preserve">but </w:t>
      </w:r>
      <w:r>
        <w:rPr>
          <w:rFonts w:cstheme="minorHAnsi"/>
        </w:rPr>
        <w:t>will</w:t>
      </w:r>
      <w:r w:rsidR="008F0802">
        <w:rPr>
          <w:rFonts w:cstheme="minorHAnsi"/>
        </w:rPr>
        <w:t xml:space="preserve"> then</w:t>
      </w:r>
      <w:r>
        <w:rPr>
          <w:rFonts w:cstheme="minorHAnsi"/>
        </w:rPr>
        <w:t xml:space="preserve"> transfer </w:t>
      </w:r>
      <w:r w:rsidR="008F0802">
        <w:rPr>
          <w:rFonts w:cstheme="minorHAnsi"/>
        </w:rPr>
        <w:t>ownership t</w:t>
      </w:r>
      <w:r>
        <w:rPr>
          <w:rFonts w:cstheme="minorHAnsi"/>
        </w:rPr>
        <w:t xml:space="preserve">o the Parish Council. </w:t>
      </w:r>
    </w:p>
    <w:p w14:paraId="2451F99E" w14:textId="3A10660C" w:rsidR="008F0802" w:rsidRDefault="004E42D0" w:rsidP="008F0802">
      <w:pPr>
        <w:pStyle w:val="ListParagraph"/>
        <w:numPr>
          <w:ilvl w:val="1"/>
          <w:numId w:val="2"/>
        </w:numPr>
        <w:spacing w:before="120" w:after="0" w:line="240" w:lineRule="auto"/>
        <w:contextualSpacing w:val="0"/>
        <w:rPr>
          <w:rFonts w:cstheme="minorHAnsi"/>
        </w:rPr>
      </w:pPr>
      <w:r w:rsidRPr="004E42D0">
        <w:rPr>
          <w:rFonts w:cstheme="minorHAnsi"/>
        </w:rPr>
        <w:t xml:space="preserve"> </w:t>
      </w:r>
      <w:r w:rsidR="008F0802">
        <w:rPr>
          <w:rFonts w:cstheme="minorHAnsi"/>
        </w:rPr>
        <w:t>LMPC fund the purchase and installation</w:t>
      </w:r>
    </w:p>
    <w:p w14:paraId="112F250D" w14:textId="58D61BDC" w:rsidR="008F0802" w:rsidRDefault="008F0802" w:rsidP="008F0802">
      <w:pPr>
        <w:pStyle w:val="ListParagraph"/>
        <w:numPr>
          <w:ilvl w:val="2"/>
          <w:numId w:val="2"/>
        </w:numPr>
        <w:spacing w:before="120" w:after="0" w:line="240" w:lineRule="auto"/>
        <w:contextualSpacing w:val="0"/>
        <w:rPr>
          <w:rFonts w:cstheme="minorHAnsi"/>
        </w:rPr>
      </w:pPr>
      <w:r>
        <w:rPr>
          <w:rFonts w:cstheme="minorHAnsi"/>
        </w:rPr>
        <w:t>LMPC would have to pay all purchase, installation, and running costs</w:t>
      </w:r>
    </w:p>
    <w:p w14:paraId="28F7B7FE" w14:textId="5332FA31" w:rsidR="003A528F" w:rsidRDefault="003A528F" w:rsidP="008F0802">
      <w:pPr>
        <w:pStyle w:val="ListParagraph"/>
        <w:numPr>
          <w:ilvl w:val="2"/>
          <w:numId w:val="2"/>
        </w:numPr>
        <w:spacing w:before="120" w:after="0" w:line="240" w:lineRule="auto"/>
        <w:contextualSpacing w:val="0"/>
        <w:rPr>
          <w:rFonts w:cstheme="minorHAnsi"/>
        </w:rPr>
      </w:pPr>
      <w:r>
        <w:rPr>
          <w:rFonts w:cstheme="minorHAnsi"/>
        </w:rPr>
        <w:t>LMPC could choose how many EVPCs to install</w:t>
      </w:r>
    </w:p>
    <w:p w14:paraId="5A163E49" w14:textId="3B21E281" w:rsidR="008F0802" w:rsidRDefault="008F0802" w:rsidP="008F0802">
      <w:pPr>
        <w:pStyle w:val="ListParagraph"/>
        <w:numPr>
          <w:ilvl w:val="2"/>
          <w:numId w:val="2"/>
        </w:numPr>
        <w:spacing w:before="120" w:after="0" w:line="240" w:lineRule="auto"/>
        <w:contextualSpacing w:val="0"/>
        <w:rPr>
          <w:rFonts w:cstheme="minorHAnsi"/>
        </w:rPr>
      </w:pPr>
      <w:r>
        <w:rPr>
          <w:rFonts w:cstheme="minorHAnsi"/>
        </w:rPr>
        <w:t>LMPC would own the EVPCs from the outset</w:t>
      </w:r>
    </w:p>
    <w:p w14:paraId="119CDFA7" w14:textId="7AEB01B4" w:rsidR="008F0802" w:rsidRDefault="008F0802" w:rsidP="008F0802">
      <w:pPr>
        <w:pStyle w:val="ListParagraph"/>
        <w:numPr>
          <w:ilvl w:val="2"/>
          <w:numId w:val="2"/>
        </w:numPr>
        <w:spacing w:before="120" w:after="0" w:line="240" w:lineRule="auto"/>
        <w:contextualSpacing w:val="0"/>
        <w:rPr>
          <w:rFonts w:cstheme="minorHAnsi"/>
        </w:rPr>
      </w:pPr>
      <w:r>
        <w:rPr>
          <w:rFonts w:cstheme="minorHAnsi"/>
        </w:rPr>
        <w:t>LMPC can charge users whatever it likes.</w:t>
      </w:r>
    </w:p>
    <w:p w14:paraId="24AD47C2" w14:textId="2438BBC1" w:rsidR="003A528F" w:rsidRDefault="003A528F" w:rsidP="008F0802">
      <w:pPr>
        <w:pStyle w:val="ListParagraph"/>
        <w:numPr>
          <w:ilvl w:val="2"/>
          <w:numId w:val="2"/>
        </w:numPr>
        <w:spacing w:before="120" w:after="0" w:line="240" w:lineRule="auto"/>
        <w:contextualSpacing w:val="0"/>
        <w:rPr>
          <w:rFonts w:cstheme="minorHAnsi"/>
        </w:rPr>
      </w:pPr>
      <w:r>
        <w:rPr>
          <w:rFonts w:cstheme="minorHAnsi"/>
        </w:rPr>
        <w:t>There is no requirement for the Parish Council to introduce a TRO or TMO.</w:t>
      </w:r>
    </w:p>
    <w:p w14:paraId="2F87AB83" w14:textId="643ADA14" w:rsidR="003A528F" w:rsidRDefault="003A528F" w:rsidP="008F0802">
      <w:pPr>
        <w:pStyle w:val="ListParagraph"/>
        <w:numPr>
          <w:ilvl w:val="2"/>
          <w:numId w:val="2"/>
        </w:numPr>
        <w:spacing w:before="120" w:after="0" w:line="240" w:lineRule="auto"/>
        <w:contextualSpacing w:val="0"/>
        <w:rPr>
          <w:rFonts w:cstheme="minorHAnsi"/>
        </w:rPr>
      </w:pPr>
      <w:r>
        <w:rPr>
          <w:rFonts w:cstheme="minorHAnsi"/>
        </w:rPr>
        <w:t>If the Parish Council charged 30p per kWh, the forecast</w:t>
      </w:r>
      <w:r w:rsidR="0077681D">
        <w:rPr>
          <w:rFonts w:cstheme="minorHAnsi"/>
        </w:rPr>
        <w:t xml:space="preserve"> income </w:t>
      </w:r>
      <w:r w:rsidR="0023504A">
        <w:rPr>
          <w:rFonts w:cstheme="minorHAnsi"/>
        </w:rPr>
        <w:t xml:space="preserve">and profit in year 1 </w:t>
      </w:r>
      <w:r w:rsidR="0077681D">
        <w:rPr>
          <w:rFonts w:cstheme="minorHAnsi"/>
        </w:rPr>
        <w:t xml:space="preserve">for both 2 and for 8 EVCPs would be as shown in the table below. </w:t>
      </w:r>
      <w:r w:rsidR="0023504A">
        <w:rPr>
          <w:rFonts w:cstheme="minorHAnsi"/>
        </w:rPr>
        <w:t xml:space="preserve">Using </w:t>
      </w:r>
      <w:proofErr w:type="spellStart"/>
      <w:r w:rsidR="0023504A">
        <w:rPr>
          <w:rFonts w:cstheme="minorHAnsi"/>
        </w:rPr>
        <w:t>JoJu’s</w:t>
      </w:r>
      <w:proofErr w:type="spellEnd"/>
      <w:r w:rsidR="0023504A">
        <w:rPr>
          <w:rFonts w:cstheme="minorHAnsi"/>
        </w:rPr>
        <w:t xml:space="preserve"> escalation factors yields forecasts for subsequent years which indicate that </w:t>
      </w:r>
      <w:r w:rsidR="0077681D">
        <w:rPr>
          <w:rFonts w:cstheme="minorHAnsi"/>
        </w:rPr>
        <w:t xml:space="preserve">the Parish Council </w:t>
      </w:r>
      <w:r>
        <w:rPr>
          <w:rFonts w:cstheme="minorHAnsi"/>
        </w:rPr>
        <w:t xml:space="preserve">might secure </w:t>
      </w:r>
      <w:r w:rsidR="00626ECF">
        <w:rPr>
          <w:rFonts w:cstheme="minorHAnsi"/>
        </w:rPr>
        <w:t xml:space="preserve">sufficient </w:t>
      </w:r>
      <w:r>
        <w:rPr>
          <w:rFonts w:cstheme="minorHAnsi"/>
        </w:rPr>
        <w:t xml:space="preserve">cumulative profit to payback the purchase and installation costs in 6 or 7 years. </w:t>
      </w:r>
    </w:p>
    <w:p w14:paraId="4C99331E" w14:textId="77777777" w:rsidR="00626ECF" w:rsidRPr="00626ECF" w:rsidRDefault="00626ECF" w:rsidP="00626ECF">
      <w:pPr>
        <w:spacing w:before="120" w:after="0" w:line="240" w:lineRule="auto"/>
        <w:ind w:left="360"/>
        <w:rPr>
          <w:rFonts w:cstheme="minorHAnsi"/>
        </w:rPr>
      </w:pPr>
    </w:p>
    <w:tbl>
      <w:tblPr>
        <w:tblStyle w:val="TableGrid"/>
        <w:tblW w:w="6658" w:type="dxa"/>
        <w:jc w:val="center"/>
        <w:tblLook w:val="04A0" w:firstRow="1" w:lastRow="0" w:firstColumn="1" w:lastColumn="0" w:noHBand="0" w:noVBand="1"/>
      </w:tblPr>
      <w:tblGrid>
        <w:gridCol w:w="851"/>
        <w:gridCol w:w="992"/>
        <w:gridCol w:w="1276"/>
        <w:gridCol w:w="1129"/>
        <w:gridCol w:w="1134"/>
        <w:gridCol w:w="1276"/>
      </w:tblGrid>
      <w:tr w:rsidR="0023504A" w14:paraId="07AFD4C0" w14:textId="77777777" w:rsidTr="00626ECF">
        <w:trPr>
          <w:jc w:val="center"/>
        </w:trPr>
        <w:tc>
          <w:tcPr>
            <w:tcW w:w="851" w:type="dxa"/>
          </w:tcPr>
          <w:p w14:paraId="2C4AE595" w14:textId="77777777" w:rsidR="00626ECF" w:rsidRDefault="00626ECF" w:rsidP="00273AA6">
            <w:pPr>
              <w:spacing w:before="120"/>
              <w:jc w:val="center"/>
              <w:rPr>
                <w:rFonts w:cstheme="minorHAnsi"/>
              </w:rPr>
            </w:pPr>
            <w:r>
              <w:rPr>
                <w:rFonts w:cstheme="minorHAnsi"/>
              </w:rPr>
              <w:lastRenderedPageBreak/>
              <w:t>Option</w:t>
            </w:r>
          </w:p>
        </w:tc>
        <w:tc>
          <w:tcPr>
            <w:tcW w:w="992" w:type="dxa"/>
          </w:tcPr>
          <w:p w14:paraId="50565D3E" w14:textId="77777777" w:rsidR="00626ECF" w:rsidRDefault="00626ECF" w:rsidP="00273AA6">
            <w:pPr>
              <w:spacing w:before="120"/>
              <w:jc w:val="center"/>
              <w:rPr>
                <w:rFonts w:cstheme="minorHAnsi"/>
              </w:rPr>
            </w:pPr>
            <w:r>
              <w:rPr>
                <w:rFonts w:cstheme="minorHAnsi"/>
              </w:rPr>
              <w:t>Number of Charge Points</w:t>
            </w:r>
          </w:p>
        </w:tc>
        <w:tc>
          <w:tcPr>
            <w:tcW w:w="1276" w:type="dxa"/>
          </w:tcPr>
          <w:p w14:paraId="1C4404BE" w14:textId="77777777" w:rsidR="00626ECF" w:rsidRDefault="00626ECF" w:rsidP="00273AA6">
            <w:pPr>
              <w:spacing w:before="120"/>
              <w:jc w:val="center"/>
              <w:rPr>
                <w:rFonts w:cstheme="minorHAnsi"/>
              </w:rPr>
            </w:pPr>
            <w:r>
              <w:rPr>
                <w:rFonts w:cstheme="minorHAnsi"/>
              </w:rPr>
              <w:t>Estimated kWh per annum</w:t>
            </w:r>
          </w:p>
        </w:tc>
        <w:tc>
          <w:tcPr>
            <w:tcW w:w="1129" w:type="dxa"/>
          </w:tcPr>
          <w:p w14:paraId="7876B21B" w14:textId="00529B88" w:rsidR="00626ECF" w:rsidRDefault="0023504A" w:rsidP="00273AA6">
            <w:pPr>
              <w:spacing w:before="120"/>
              <w:jc w:val="center"/>
              <w:rPr>
                <w:rFonts w:cstheme="minorHAnsi"/>
              </w:rPr>
            </w:pPr>
            <w:r>
              <w:rPr>
                <w:rFonts w:cstheme="minorHAnsi"/>
              </w:rPr>
              <w:t>Year 1 El</w:t>
            </w:r>
            <w:r w:rsidR="00626ECF">
              <w:rPr>
                <w:rFonts w:cstheme="minorHAnsi"/>
              </w:rPr>
              <w:t>ectricity Costs</w:t>
            </w:r>
          </w:p>
        </w:tc>
        <w:tc>
          <w:tcPr>
            <w:tcW w:w="1134" w:type="dxa"/>
          </w:tcPr>
          <w:p w14:paraId="7C9BA1C7" w14:textId="59FC0858" w:rsidR="00626ECF" w:rsidRDefault="0023504A" w:rsidP="00273AA6">
            <w:pPr>
              <w:spacing w:before="120"/>
              <w:jc w:val="center"/>
              <w:rPr>
                <w:rFonts w:cstheme="minorHAnsi"/>
              </w:rPr>
            </w:pPr>
            <w:r>
              <w:rPr>
                <w:rFonts w:cstheme="minorHAnsi"/>
              </w:rPr>
              <w:t xml:space="preserve">Year 1 </w:t>
            </w:r>
            <w:r w:rsidR="00626ECF">
              <w:rPr>
                <w:rFonts w:cstheme="minorHAnsi"/>
              </w:rPr>
              <w:t>Income</w:t>
            </w:r>
          </w:p>
        </w:tc>
        <w:tc>
          <w:tcPr>
            <w:tcW w:w="1276" w:type="dxa"/>
          </w:tcPr>
          <w:p w14:paraId="799A45C0" w14:textId="2FBE15B7" w:rsidR="00626ECF" w:rsidRDefault="0023504A" w:rsidP="00273AA6">
            <w:pPr>
              <w:spacing w:before="120"/>
              <w:jc w:val="center"/>
              <w:rPr>
                <w:rFonts w:cstheme="minorHAnsi"/>
              </w:rPr>
            </w:pPr>
            <w:r>
              <w:rPr>
                <w:rFonts w:cstheme="minorHAnsi"/>
              </w:rPr>
              <w:t>Year 1</w:t>
            </w:r>
            <w:r w:rsidR="00626ECF">
              <w:rPr>
                <w:rFonts w:cstheme="minorHAnsi"/>
              </w:rPr>
              <w:t xml:space="preserve"> Profit</w:t>
            </w:r>
          </w:p>
        </w:tc>
      </w:tr>
      <w:tr w:rsidR="0023504A" w14:paraId="4F57354F" w14:textId="77777777" w:rsidTr="00626ECF">
        <w:trPr>
          <w:jc w:val="center"/>
        </w:trPr>
        <w:tc>
          <w:tcPr>
            <w:tcW w:w="851" w:type="dxa"/>
          </w:tcPr>
          <w:p w14:paraId="7F81907B" w14:textId="77777777" w:rsidR="00626ECF" w:rsidRDefault="00626ECF" w:rsidP="00273AA6">
            <w:pPr>
              <w:spacing w:before="120"/>
              <w:jc w:val="center"/>
              <w:rPr>
                <w:rFonts w:cstheme="minorHAnsi"/>
              </w:rPr>
            </w:pPr>
            <w:r>
              <w:rPr>
                <w:rFonts w:cstheme="minorHAnsi"/>
              </w:rPr>
              <w:t>1</w:t>
            </w:r>
          </w:p>
        </w:tc>
        <w:tc>
          <w:tcPr>
            <w:tcW w:w="992" w:type="dxa"/>
          </w:tcPr>
          <w:p w14:paraId="2890AA82" w14:textId="77777777" w:rsidR="00626ECF" w:rsidRDefault="00626ECF" w:rsidP="00273AA6">
            <w:pPr>
              <w:spacing w:before="120"/>
              <w:jc w:val="center"/>
              <w:rPr>
                <w:rFonts w:cstheme="minorHAnsi"/>
              </w:rPr>
            </w:pPr>
            <w:r>
              <w:rPr>
                <w:rFonts w:cstheme="minorHAnsi"/>
              </w:rPr>
              <w:t>2</w:t>
            </w:r>
          </w:p>
        </w:tc>
        <w:tc>
          <w:tcPr>
            <w:tcW w:w="1276" w:type="dxa"/>
          </w:tcPr>
          <w:p w14:paraId="50E9FF63" w14:textId="77777777" w:rsidR="00626ECF" w:rsidRDefault="00626ECF" w:rsidP="00273AA6">
            <w:pPr>
              <w:spacing w:before="120"/>
              <w:jc w:val="center"/>
              <w:rPr>
                <w:rFonts w:cstheme="minorHAnsi"/>
              </w:rPr>
            </w:pPr>
            <w:r>
              <w:rPr>
                <w:rFonts w:cstheme="minorHAnsi"/>
              </w:rPr>
              <w:t>3608</w:t>
            </w:r>
          </w:p>
        </w:tc>
        <w:tc>
          <w:tcPr>
            <w:tcW w:w="1129" w:type="dxa"/>
          </w:tcPr>
          <w:p w14:paraId="3BF761B7" w14:textId="77777777" w:rsidR="00626ECF" w:rsidRDefault="00626ECF" w:rsidP="00273AA6">
            <w:pPr>
              <w:spacing w:before="120"/>
              <w:jc w:val="right"/>
              <w:rPr>
                <w:rFonts w:cstheme="minorHAnsi"/>
              </w:rPr>
            </w:pPr>
            <w:r>
              <w:rPr>
                <w:rFonts w:cstheme="minorHAnsi"/>
              </w:rPr>
              <w:t>£432.96</w:t>
            </w:r>
          </w:p>
        </w:tc>
        <w:tc>
          <w:tcPr>
            <w:tcW w:w="1134" w:type="dxa"/>
          </w:tcPr>
          <w:p w14:paraId="1C6C80C6" w14:textId="77777777" w:rsidR="00626ECF" w:rsidRDefault="00626ECF" w:rsidP="00273AA6">
            <w:pPr>
              <w:spacing w:before="120"/>
              <w:jc w:val="right"/>
              <w:rPr>
                <w:rFonts w:cstheme="minorHAnsi"/>
              </w:rPr>
            </w:pPr>
            <w:r>
              <w:rPr>
                <w:rFonts w:cstheme="minorHAnsi"/>
              </w:rPr>
              <w:t>£1,082.32</w:t>
            </w:r>
          </w:p>
        </w:tc>
        <w:tc>
          <w:tcPr>
            <w:tcW w:w="1276" w:type="dxa"/>
          </w:tcPr>
          <w:p w14:paraId="0994F6DD" w14:textId="0443D7BA" w:rsidR="00626ECF" w:rsidRDefault="00626ECF" w:rsidP="00273AA6">
            <w:pPr>
              <w:spacing w:before="120"/>
              <w:jc w:val="right"/>
              <w:rPr>
                <w:rFonts w:cstheme="minorHAnsi"/>
              </w:rPr>
            </w:pPr>
            <w:r>
              <w:rPr>
                <w:rFonts w:cstheme="minorHAnsi"/>
              </w:rPr>
              <w:t>£3</w:t>
            </w:r>
            <w:r w:rsidR="0023504A">
              <w:rPr>
                <w:rFonts w:cstheme="minorHAnsi"/>
              </w:rPr>
              <w:t>59.39</w:t>
            </w:r>
          </w:p>
        </w:tc>
      </w:tr>
      <w:tr w:rsidR="0023504A" w14:paraId="323FA727" w14:textId="77777777" w:rsidTr="00626ECF">
        <w:trPr>
          <w:jc w:val="center"/>
        </w:trPr>
        <w:tc>
          <w:tcPr>
            <w:tcW w:w="851" w:type="dxa"/>
          </w:tcPr>
          <w:p w14:paraId="05468D13" w14:textId="5D424FA3" w:rsidR="00626ECF" w:rsidRDefault="00626ECF" w:rsidP="00273AA6">
            <w:pPr>
              <w:spacing w:before="120"/>
              <w:jc w:val="center"/>
              <w:rPr>
                <w:rFonts w:cstheme="minorHAnsi"/>
              </w:rPr>
            </w:pPr>
            <w:r>
              <w:rPr>
                <w:rFonts w:cstheme="minorHAnsi"/>
              </w:rPr>
              <w:t>2</w:t>
            </w:r>
          </w:p>
        </w:tc>
        <w:tc>
          <w:tcPr>
            <w:tcW w:w="992" w:type="dxa"/>
          </w:tcPr>
          <w:p w14:paraId="7E9EB2CB" w14:textId="53F60B49" w:rsidR="00626ECF" w:rsidRDefault="00626ECF" w:rsidP="00273AA6">
            <w:pPr>
              <w:spacing w:before="120"/>
              <w:jc w:val="center"/>
              <w:rPr>
                <w:rFonts w:cstheme="minorHAnsi"/>
              </w:rPr>
            </w:pPr>
            <w:r>
              <w:rPr>
                <w:rFonts w:cstheme="minorHAnsi"/>
              </w:rPr>
              <w:t>8</w:t>
            </w:r>
          </w:p>
        </w:tc>
        <w:tc>
          <w:tcPr>
            <w:tcW w:w="1276" w:type="dxa"/>
          </w:tcPr>
          <w:p w14:paraId="293E0BFC" w14:textId="4B1AD872" w:rsidR="00626ECF" w:rsidRDefault="00626ECF" w:rsidP="00273AA6">
            <w:pPr>
              <w:spacing w:before="120"/>
              <w:jc w:val="center"/>
              <w:rPr>
                <w:rFonts w:cstheme="minorHAnsi"/>
              </w:rPr>
            </w:pPr>
            <w:r>
              <w:rPr>
                <w:rFonts w:cstheme="minorHAnsi"/>
              </w:rPr>
              <w:t>14432</w:t>
            </w:r>
          </w:p>
        </w:tc>
        <w:tc>
          <w:tcPr>
            <w:tcW w:w="1129" w:type="dxa"/>
          </w:tcPr>
          <w:p w14:paraId="4C5E8E4D" w14:textId="382CAD3A" w:rsidR="00626ECF" w:rsidRDefault="00626ECF" w:rsidP="00273AA6">
            <w:pPr>
              <w:spacing w:before="120"/>
              <w:jc w:val="right"/>
              <w:rPr>
                <w:rFonts w:cstheme="minorHAnsi"/>
              </w:rPr>
            </w:pPr>
            <w:r>
              <w:rPr>
                <w:rFonts w:cstheme="minorHAnsi"/>
              </w:rPr>
              <w:t>£1,731.71</w:t>
            </w:r>
          </w:p>
        </w:tc>
        <w:tc>
          <w:tcPr>
            <w:tcW w:w="1134" w:type="dxa"/>
          </w:tcPr>
          <w:p w14:paraId="6285EBF3" w14:textId="48D6ECA2" w:rsidR="00626ECF" w:rsidRDefault="00626ECF" w:rsidP="00273AA6">
            <w:pPr>
              <w:spacing w:before="120"/>
              <w:jc w:val="right"/>
              <w:rPr>
                <w:rFonts w:cstheme="minorHAnsi"/>
              </w:rPr>
            </w:pPr>
            <w:r>
              <w:rPr>
                <w:rFonts w:cstheme="minorHAnsi"/>
              </w:rPr>
              <w:t>£4,329.27</w:t>
            </w:r>
          </w:p>
        </w:tc>
        <w:tc>
          <w:tcPr>
            <w:tcW w:w="1276" w:type="dxa"/>
          </w:tcPr>
          <w:p w14:paraId="46B9AA29" w14:textId="46F5F167" w:rsidR="00626ECF" w:rsidRDefault="00626ECF" w:rsidP="00273AA6">
            <w:pPr>
              <w:spacing w:before="120"/>
              <w:jc w:val="right"/>
              <w:rPr>
                <w:rFonts w:cstheme="minorHAnsi"/>
              </w:rPr>
            </w:pPr>
            <w:r>
              <w:rPr>
                <w:rFonts w:cstheme="minorHAnsi"/>
              </w:rPr>
              <w:t>£</w:t>
            </w:r>
            <w:r w:rsidR="00FF2C18">
              <w:rPr>
                <w:rFonts w:cstheme="minorHAnsi"/>
              </w:rPr>
              <w:t>1</w:t>
            </w:r>
            <w:r>
              <w:rPr>
                <w:rFonts w:cstheme="minorHAnsi"/>
              </w:rPr>
              <w:t>,4</w:t>
            </w:r>
            <w:r w:rsidR="00FF2C18">
              <w:rPr>
                <w:rFonts w:cstheme="minorHAnsi"/>
              </w:rPr>
              <w:t>21.56</w:t>
            </w:r>
          </w:p>
        </w:tc>
      </w:tr>
    </w:tbl>
    <w:p w14:paraId="15691ED5" w14:textId="726CD59B" w:rsidR="0046136C" w:rsidRPr="00ED2225" w:rsidRDefault="00ED2225" w:rsidP="00ED2225">
      <w:pPr>
        <w:pStyle w:val="Heading1"/>
        <w:spacing w:before="120"/>
        <w:ind w:left="425" w:hanging="425"/>
        <w:rPr>
          <w:rFonts w:ascii="Calibri" w:hAnsi="Calibri" w:cs="Calibri"/>
          <w:color w:val="000000" w:themeColor="text1"/>
          <w:sz w:val="24"/>
          <w:szCs w:val="24"/>
        </w:rPr>
      </w:pPr>
      <w:r w:rsidRPr="00ED2225">
        <w:rPr>
          <w:rFonts w:ascii="Calibri" w:hAnsi="Calibri" w:cs="Calibri"/>
          <w:color w:val="000000" w:themeColor="text1"/>
          <w:sz w:val="24"/>
          <w:szCs w:val="24"/>
        </w:rPr>
        <w:t>Availability of Grant Funding to Cover Installation Costs</w:t>
      </w:r>
    </w:p>
    <w:p w14:paraId="22ED6997" w14:textId="59FF32E4" w:rsidR="00AF2E50" w:rsidRDefault="00AF2E50" w:rsidP="00AF2E50">
      <w:pPr>
        <w:spacing w:before="120" w:after="0" w:line="240" w:lineRule="auto"/>
        <w:ind w:left="426"/>
        <w:rPr>
          <w:rFonts w:cstheme="minorHAnsi"/>
        </w:rPr>
      </w:pPr>
      <w:r>
        <w:rPr>
          <w:rFonts w:cstheme="minorHAnsi"/>
        </w:rPr>
        <w:t xml:space="preserve">The UK </w:t>
      </w:r>
      <w:r w:rsidR="00DB6695">
        <w:rPr>
          <w:rFonts w:cstheme="minorHAnsi"/>
        </w:rPr>
        <w:t>Government Office for Low Emission Vehicles (OLEV) is responsible for a series of grant funding programmes to support the electric vehicle market. One of these is the On-street Residential Charging Point Scheme, which is available to local government for grants of up to 75% of the costs of installing EVCPs</w:t>
      </w:r>
      <w:r w:rsidR="00B20BA3">
        <w:rPr>
          <w:rFonts w:cstheme="minorHAnsi"/>
        </w:rPr>
        <w:t xml:space="preserve"> up to a maximum of £7,500 per EVCP. </w:t>
      </w:r>
      <w:r w:rsidR="0077681D">
        <w:rPr>
          <w:rFonts w:cstheme="minorHAnsi"/>
        </w:rPr>
        <w:t xml:space="preserve">OLEV has allocated £4.5million to this scheme for this year and also for next year, which will be awarded on a first come first served basis. </w:t>
      </w:r>
      <w:r w:rsidR="00B20BA3">
        <w:rPr>
          <w:rFonts w:cstheme="minorHAnsi"/>
        </w:rPr>
        <w:t xml:space="preserve">While the scheme is primarily intended for on-street parking, OLEV is willing to consider applications for </w:t>
      </w:r>
      <w:proofErr w:type="spellStart"/>
      <w:r w:rsidR="00B20BA3">
        <w:rPr>
          <w:rFonts w:cstheme="minorHAnsi"/>
        </w:rPr>
        <w:t>chargepoints</w:t>
      </w:r>
      <w:proofErr w:type="spellEnd"/>
      <w:r w:rsidR="00B20BA3">
        <w:rPr>
          <w:rFonts w:cstheme="minorHAnsi"/>
        </w:rPr>
        <w:t xml:space="preserve"> situated in car parks owned by local authorities where the car park is located in or near a residential area</w:t>
      </w:r>
      <w:r w:rsidR="0077681D">
        <w:rPr>
          <w:rFonts w:cstheme="minorHAnsi"/>
        </w:rPr>
        <w:t xml:space="preserve"> where residents are unable to charge their vehicles at home due to a lack of off-street parking.</w:t>
      </w:r>
    </w:p>
    <w:p w14:paraId="28CD402F" w14:textId="660328E0" w:rsidR="00C71CED" w:rsidRPr="00411721" w:rsidRDefault="00FF2C18" w:rsidP="00411721">
      <w:pPr>
        <w:pStyle w:val="Heading1"/>
        <w:rPr>
          <w:rFonts w:ascii="Calibri" w:hAnsi="Calibri" w:cs="Calibri"/>
          <w:color w:val="000000" w:themeColor="text1"/>
          <w:sz w:val="24"/>
          <w:szCs w:val="24"/>
        </w:rPr>
      </w:pPr>
      <w:r>
        <w:rPr>
          <w:rFonts w:ascii="Calibri" w:hAnsi="Calibri" w:cs="Calibri"/>
          <w:color w:val="000000" w:themeColor="text1"/>
          <w:sz w:val="24"/>
          <w:szCs w:val="24"/>
        </w:rPr>
        <w:t xml:space="preserve">Recommendations and </w:t>
      </w:r>
      <w:r w:rsidR="00436974" w:rsidRPr="00411721">
        <w:rPr>
          <w:rFonts w:ascii="Calibri" w:hAnsi="Calibri" w:cs="Calibri"/>
          <w:color w:val="000000" w:themeColor="text1"/>
          <w:sz w:val="24"/>
          <w:szCs w:val="24"/>
        </w:rPr>
        <w:t>Next Steps</w:t>
      </w:r>
    </w:p>
    <w:p w14:paraId="0F8CBDA1" w14:textId="77777777" w:rsidR="0042388D" w:rsidRDefault="00FF2C18" w:rsidP="005A58CD">
      <w:pPr>
        <w:spacing w:before="120" w:after="0" w:line="240" w:lineRule="auto"/>
        <w:ind w:left="426"/>
        <w:rPr>
          <w:rFonts w:ascii="Calibri" w:hAnsi="Calibri" w:cs="Calibri"/>
        </w:rPr>
      </w:pPr>
      <w:r>
        <w:rPr>
          <w:rFonts w:ascii="Calibri" w:hAnsi="Calibri" w:cs="Calibri"/>
        </w:rPr>
        <w:t xml:space="preserve">The Parish Council are invited to approve the </w:t>
      </w:r>
      <w:r w:rsidR="0042388D">
        <w:rPr>
          <w:rFonts w:ascii="Calibri" w:hAnsi="Calibri" w:cs="Calibri"/>
        </w:rPr>
        <w:t>following:</w:t>
      </w:r>
    </w:p>
    <w:p w14:paraId="1BEBF442" w14:textId="0B2BDCEC" w:rsidR="00FF2C18" w:rsidRPr="0042388D" w:rsidRDefault="0042388D" w:rsidP="0042388D">
      <w:pPr>
        <w:pStyle w:val="ListParagraph"/>
        <w:numPr>
          <w:ilvl w:val="0"/>
          <w:numId w:val="34"/>
        </w:numPr>
        <w:spacing w:before="120" w:after="0" w:line="240" w:lineRule="auto"/>
        <w:rPr>
          <w:rFonts w:ascii="Calibri" w:hAnsi="Calibri" w:cs="Calibri"/>
        </w:rPr>
      </w:pPr>
      <w:r>
        <w:rPr>
          <w:rFonts w:ascii="Calibri" w:hAnsi="Calibri" w:cs="Calibri"/>
        </w:rPr>
        <w:t xml:space="preserve">The </w:t>
      </w:r>
      <w:r w:rsidR="005A58CD" w:rsidRPr="0042388D">
        <w:rPr>
          <w:rFonts w:ascii="Calibri" w:hAnsi="Calibri" w:cs="Calibri"/>
        </w:rPr>
        <w:t xml:space="preserve">proposal that </w:t>
      </w:r>
      <w:r w:rsidR="00FF2C18" w:rsidRPr="0042388D">
        <w:rPr>
          <w:rFonts w:ascii="Calibri" w:hAnsi="Calibri" w:cs="Calibri"/>
        </w:rPr>
        <w:t>EVCPs be installed as part of the project to extend and upgrade the Recreation Ground Car Park</w:t>
      </w:r>
      <w:r>
        <w:rPr>
          <w:rFonts w:ascii="Calibri" w:hAnsi="Calibri" w:cs="Calibri"/>
        </w:rPr>
        <w:t xml:space="preserve">, with the preferred option being for </w:t>
      </w:r>
      <w:proofErr w:type="spellStart"/>
      <w:r>
        <w:rPr>
          <w:rFonts w:ascii="Calibri" w:hAnsi="Calibri" w:cs="Calibri"/>
        </w:rPr>
        <w:t>Vatenfall</w:t>
      </w:r>
      <w:proofErr w:type="spellEnd"/>
      <w:r>
        <w:rPr>
          <w:rFonts w:ascii="Calibri" w:hAnsi="Calibri" w:cs="Calibri"/>
        </w:rPr>
        <w:t xml:space="preserve"> to fund the purchase and installation costs (on the basis that this protects the Parish Council from the risks involved and conserves the Parish Council’s resources for Neighbourhood Plan projects).</w:t>
      </w:r>
    </w:p>
    <w:p w14:paraId="48ADA7BB" w14:textId="0D51E5B7" w:rsidR="0042388D" w:rsidRDefault="005A58CD" w:rsidP="0042388D">
      <w:pPr>
        <w:pStyle w:val="ListParagraph"/>
        <w:numPr>
          <w:ilvl w:val="0"/>
          <w:numId w:val="34"/>
        </w:numPr>
        <w:spacing w:before="120" w:after="0" w:line="240" w:lineRule="auto"/>
        <w:rPr>
          <w:rFonts w:ascii="Calibri" w:hAnsi="Calibri" w:cs="Calibri"/>
        </w:rPr>
      </w:pPr>
      <w:r w:rsidRPr="0042388D">
        <w:rPr>
          <w:rFonts w:ascii="Calibri" w:hAnsi="Calibri" w:cs="Calibri"/>
        </w:rPr>
        <w:t>T</w:t>
      </w:r>
      <w:r w:rsidR="00FF2C18" w:rsidRPr="0042388D">
        <w:rPr>
          <w:rFonts w:ascii="Calibri" w:hAnsi="Calibri" w:cs="Calibri"/>
        </w:rPr>
        <w:t xml:space="preserve">he </w:t>
      </w:r>
      <w:r w:rsidR="0042388D">
        <w:rPr>
          <w:rFonts w:ascii="Calibri" w:hAnsi="Calibri" w:cs="Calibri"/>
        </w:rPr>
        <w:t>preparation and submission of an</w:t>
      </w:r>
      <w:r w:rsidRPr="0042388D">
        <w:rPr>
          <w:rFonts w:ascii="Calibri" w:hAnsi="Calibri" w:cs="Calibri"/>
        </w:rPr>
        <w:t xml:space="preserve"> appl</w:t>
      </w:r>
      <w:r w:rsidR="0042388D">
        <w:rPr>
          <w:rFonts w:ascii="Calibri" w:hAnsi="Calibri" w:cs="Calibri"/>
        </w:rPr>
        <w:t xml:space="preserve">ication </w:t>
      </w:r>
      <w:r w:rsidRPr="0042388D">
        <w:rPr>
          <w:rFonts w:ascii="Calibri" w:hAnsi="Calibri" w:cs="Calibri"/>
        </w:rPr>
        <w:t>for an On-Street Residential Charging Point grant.</w:t>
      </w:r>
    </w:p>
    <w:p w14:paraId="6698C546" w14:textId="2B763340" w:rsidR="00D63D91" w:rsidRPr="0042388D" w:rsidRDefault="0042388D" w:rsidP="0042388D">
      <w:pPr>
        <w:pStyle w:val="ListParagraph"/>
        <w:numPr>
          <w:ilvl w:val="0"/>
          <w:numId w:val="34"/>
        </w:numPr>
        <w:spacing w:before="120" w:after="0" w:line="240" w:lineRule="auto"/>
        <w:rPr>
          <w:rFonts w:ascii="Calibri" w:hAnsi="Calibri" w:cs="Calibri"/>
        </w:rPr>
      </w:pPr>
      <w:r w:rsidRPr="0042388D">
        <w:rPr>
          <w:rFonts w:ascii="Calibri" w:hAnsi="Calibri" w:cs="Calibri"/>
        </w:rPr>
        <w:t xml:space="preserve">Proceeding to </w:t>
      </w:r>
      <w:r w:rsidR="005A58CD" w:rsidRPr="0042388D">
        <w:rPr>
          <w:rFonts w:ascii="Calibri" w:hAnsi="Calibri" w:cs="Calibri"/>
        </w:rPr>
        <w:t xml:space="preserve">work with </w:t>
      </w:r>
      <w:proofErr w:type="spellStart"/>
      <w:r w:rsidR="005A58CD" w:rsidRPr="0042388D">
        <w:rPr>
          <w:rFonts w:ascii="Calibri" w:hAnsi="Calibri" w:cs="Calibri"/>
        </w:rPr>
        <w:t>JoJu</w:t>
      </w:r>
      <w:proofErr w:type="spellEnd"/>
      <w:r w:rsidR="005A58CD" w:rsidRPr="0042388D">
        <w:rPr>
          <w:rFonts w:ascii="Calibri" w:hAnsi="Calibri" w:cs="Calibri"/>
        </w:rPr>
        <w:t xml:space="preserve"> to develop a</w:t>
      </w:r>
      <w:r>
        <w:rPr>
          <w:rFonts w:ascii="Calibri" w:hAnsi="Calibri" w:cs="Calibri"/>
        </w:rPr>
        <w:t>nd implement a</w:t>
      </w:r>
      <w:r w:rsidR="005A58CD" w:rsidRPr="0042388D">
        <w:rPr>
          <w:rFonts w:ascii="Calibri" w:hAnsi="Calibri" w:cs="Calibri"/>
        </w:rPr>
        <w:t xml:space="preserve"> joint project plan for the purchase and installation of EVCPs</w:t>
      </w:r>
      <w:r w:rsidR="00AF2E50" w:rsidRPr="0042388D">
        <w:rPr>
          <w:rFonts w:ascii="Calibri" w:hAnsi="Calibri" w:cs="Calibri"/>
        </w:rPr>
        <w:t>.</w:t>
      </w:r>
    </w:p>
    <w:p w14:paraId="22DEC0FA" w14:textId="7098E91A" w:rsidR="00862AFC" w:rsidRDefault="00862AFC" w:rsidP="00411721">
      <w:pPr>
        <w:spacing w:before="120" w:after="0" w:line="240" w:lineRule="auto"/>
        <w:ind w:left="426"/>
        <w:rPr>
          <w:rFonts w:ascii="Calibri" w:hAnsi="Calibri" w:cs="Calibri"/>
        </w:rPr>
      </w:pPr>
    </w:p>
    <w:p w14:paraId="353375E5" w14:textId="77777777" w:rsidR="0042388D" w:rsidRPr="00411721" w:rsidRDefault="0042388D" w:rsidP="00411721">
      <w:pPr>
        <w:spacing w:before="120" w:after="0" w:line="240" w:lineRule="auto"/>
        <w:ind w:left="426"/>
        <w:rPr>
          <w:rFonts w:ascii="Calibri" w:hAnsi="Calibri" w:cs="Calibri"/>
        </w:rPr>
      </w:pPr>
    </w:p>
    <w:p w14:paraId="317CAA50" w14:textId="79B7F887" w:rsidR="005E04FF" w:rsidRPr="00411721" w:rsidRDefault="005E04FF" w:rsidP="00411721">
      <w:pPr>
        <w:spacing w:before="120" w:after="0" w:line="240" w:lineRule="auto"/>
        <w:ind w:left="426"/>
        <w:rPr>
          <w:rFonts w:ascii="Calibri" w:hAnsi="Calibri" w:cs="Calibri"/>
        </w:rPr>
      </w:pPr>
      <w:r w:rsidRPr="00411721">
        <w:rPr>
          <w:rFonts w:ascii="Calibri" w:hAnsi="Calibri" w:cs="Calibri"/>
        </w:rPr>
        <w:t>Councillor Carswell</w:t>
      </w:r>
    </w:p>
    <w:p w14:paraId="59E18FAE" w14:textId="10A066BD" w:rsidR="005E04FF" w:rsidRDefault="005E04FF" w:rsidP="00411721">
      <w:pPr>
        <w:spacing w:before="120" w:after="0" w:line="240" w:lineRule="auto"/>
        <w:ind w:left="426"/>
        <w:rPr>
          <w:rFonts w:ascii="Calibri" w:hAnsi="Calibri" w:cs="Calibri"/>
        </w:rPr>
      </w:pPr>
      <w:r w:rsidRPr="00411721">
        <w:rPr>
          <w:rFonts w:ascii="Calibri" w:hAnsi="Calibri" w:cs="Calibri"/>
        </w:rPr>
        <w:t>Councillor Watts</w:t>
      </w:r>
    </w:p>
    <w:p w14:paraId="749227EA" w14:textId="77777777" w:rsidR="00862AFC" w:rsidRPr="00411721" w:rsidRDefault="00862AFC" w:rsidP="00411721">
      <w:pPr>
        <w:spacing w:before="120" w:after="0" w:line="240" w:lineRule="auto"/>
        <w:ind w:left="426"/>
        <w:rPr>
          <w:rFonts w:ascii="Calibri" w:hAnsi="Calibri" w:cs="Calibri"/>
        </w:rPr>
      </w:pPr>
    </w:p>
    <w:sectPr w:rsidR="00862AFC" w:rsidRPr="00411721" w:rsidSect="00AF2E5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039"/>
    <w:multiLevelType w:val="hybridMultilevel"/>
    <w:tmpl w:val="B6BA7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37A2"/>
    <w:multiLevelType w:val="hybridMultilevel"/>
    <w:tmpl w:val="256E6AE6"/>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2FED5239"/>
    <w:multiLevelType w:val="hybridMultilevel"/>
    <w:tmpl w:val="19EE012A"/>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3" w15:restartNumberingAfterBreak="0">
    <w:nsid w:val="33E050EA"/>
    <w:multiLevelType w:val="hybridMultilevel"/>
    <w:tmpl w:val="C78034C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5C220ED"/>
    <w:multiLevelType w:val="hybridMultilevel"/>
    <w:tmpl w:val="AFB8925E"/>
    <w:lvl w:ilvl="0" w:tplc="4998DD3A">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BBB401C"/>
    <w:multiLevelType w:val="hybridMultilevel"/>
    <w:tmpl w:val="49407C5C"/>
    <w:lvl w:ilvl="0" w:tplc="4998DD3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17894"/>
    <w:multiLevelType w:val="hybridMultilevel"/>
    <w:tmpl w:val="36886CF0"/>
    <w:lvl w:ilvl="0" w:tplc="4998DD3A">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26A295D"/>
    <w:multiLevelType w:val="hybridMultilevel"/>
    <w:tmpl w:val="12C8073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4AF25995"/>
    <w:multiLevelType w:val="hybridMultilevel"/>
    <w:tmpl w:val="45A65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2680"/>
    <w:multiLevelType w:val="hybridMultilevel"/>
    <w:tmpl w:val="69D0E6FE"/>
    <w:lvl w:ilvl="0" w:tplc="4998DD3A">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CF7D61"/>
    <w:multiLevelType w:val="multilevel"/>
    <w:tmpl w:val="7E4A6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8284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BF75366"/>
    <w:multiLevelType w:val="multilevel"/>
    <w:tmpl w:val="78A4A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E6B2E"/>
    <w:multiLevelType w:val="multilevel"/>
    <w:tmpl w:val="229C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2"/>
  </w:num>
  <w:num w:numId="20">
    <w:abstractNumId w:val="1"/>
  </w:num>
  <w:num w:numId="21">
    <w:abstractNumId w:val="11"/>
  </w:num>
  <w:num w:numId="22">
    <w:abstractNumId w:val="13"/>
  </w:num>
  <w:num w:numId="23">
    <w:abstractNumId w:val="10"/>
  </w:num>
  <w:num w:numId="24">
    <w:abstractNumId w:val="12"/>
  </w:num>
  <w:num w:numId="25">
    <w:abstractNumId w:val="5"/>
  </w:num>
  <w:num w:numId="26">
    <w:abstractNumId w:val="6"/>
  </w:num>
  <w:num w:numId="27">
    <w:abstractNumId w:val="9"/>
  </w:num>
  <w:num w:numId="28">
    <w:abstractNumId w:val="4"/>
  </w:num>
  <w:num w:numId="29">
    <w:abstractNumId w:val="11"/>
  </w:num>
  <w:num w:numId="30">
    <w:abstractNumId w:val="11"/>
  </w:num>
  <w:num w:numId="31">
    <w:abstractNumId w:val="11"/>
  </w:num>
  <w:num w:numId="32">
    <w:abstractNumId w:val="11"/>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D"/>
    <w:rsid w:val="00096859"/>
    <w:rsid w:val="00121823"/>
    <w:rsid w:val="001973CA"/>
    <w:rsid w:val="001D5ED7"/>
    <w:rsid w:val="001E1092"/>
    <w:rsid w:val="0023504A"/>
    <w:rsid w:val="00250C83"/>
    <w:rsid w:val="002D6E6F"/>
    <w:rsid w:val="003474CA"/>
    <w:rsid w:val="00362A65"/>
    <w:rsid w:val="003A528F"/>
    <w:rsid w:val="004058C4"/>
    <w:rsid w:val="00406B48"/>
    <w:rsid w:val="00411721"/>
    <w:rsid w:val="004146E0"/>
    <w:rsid w:val="0042388D"/>
    <w:rsid w:val="004238E9"/>
    <w:rsid w:val="00426C9F"/>
    <w:rsid w:val="00436974"/>
    <w:rsid w:val="0045595B"/>
    <w:rsid w:val="0046136C"/>
    <w:rsid w:val="00491FA4"/>
    <w:rsid w:val="004D1A37"/>
    <w:rsid w:val="004D1DCE"/>
    <w:rsid w:val="004E42D0"/>
    <w:rsid w:val="005865F7"/>
    <w:rsid w:val="005A58CD"/>
    <w:rsid w:val="005E04FF"/>
    <w:rsid w:val="00626ECF"/>
    <w:rsid w:val="00664778"/>
    <w:rsid w:val="006C0183"/>
    <w:rsid w:val="007109E9"/>
    <w:rsid w:val="00755AA2"/>
    <w:rsid w:val="0077681D"/>
    <w:rsid w:val="008047B5"/>
    <w:rsid w:val="00862AFC"/>
    <w:rsid w:val="008712B1"/>
    <w:rsid w:val="008743C4"/>
    <w:rsid w:val="008A64FE"/>
    <w:rsid w:val="008E25CE"/>
    <w:rsid w:val="008F0802"/>
    <w:rsid w:val="00915B31"/>
    <w:rsid w:val="00950893"/>
    <w:rsid w:val="009B2F80"/>
    <w:rsid w:val="00A558EB"/>
    <w:rsid w:val="00AA5E54"/>
    <w:rsid w:val="00AF2E50"/>
    <w:rsid w:val="00B20BA3"/>
    <w:rsid w:val="00BD0405"/>
    <w:rsid w:val="00BE3B81"/>
    <w:rsid w:val="00C1035E"/>
    <w:rsid w:val="00C2752B"/>
    <w:rsid w:val="00C55024"/>
    <w:rsid w:val="00C71CED"/>
    <w:rsid w:val="00C93F30"/>
    <w:rsid w:val="00C95223"/>
    <w:rsid w:val="00C9666A"/>
    <w:rsid w:val="00CC22D6"/>
    <w:rsid w:val="00CE6016"/>
    <w:rsid w:val="00CF7F2E"/>
    <w:rsid w:val="00D404C2"/>
    <w:rsid w:val="00D44BCE"/>
    <w:rsid w:val="00D63D91"/>
    <w:rsid w:val="00D96F45"/>
    <w:rsid w:val="00DB6695"/>
    <w:rsid w:val="00DD5CE2"/>
    <w:rsid w:val="00DF6BE6"/>
    <w:rsid w:val="00E27AD0"/>
    <w:rsid w:val="00EB6B3D"/>
    <w:rsid w:val="00ED2225"/>
    <w:rsid w:val="00F4469A"/>
    <w:rsid w:val="00F54D38"/>
    <w:rsid w:val="00F74205"/>
    <w:rsid w:val="00FF2705"/>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CBA3"/>
  <w15:chartTrackingRefBased/>
  <w15:docId w15:val="{71F67AFC-AA21-40B7-978B-FC61971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721"/>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1721"/>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1721"/>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17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117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117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17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17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17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ED"/>
    <w:pPr>
      <w:ind w:left="720"/>
      <w:contextualSpacing/>
    </w:pPr>
  </w:style>
  <w:style w:type="character" w:customStyle="1" w:styleId="Heading1Char">
    <w:name w:val="Heading 1 Char"/>
    <w:basedOn w:val="DefaultParagraphFont"/>
    <w:link w:val="Heading1"/>
    <w:uiPriority w:val="9"/>
    <w:rsid w:val="004117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17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117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172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1172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1172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172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17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1721"/>
    <w:rPr>
      <w:rFonts w:asciiTheme="majorHAnsi" w:eastAsiaTheme="majorEastAsia" w:hAnsiTheme="majorHAnsi" w:cstheme="majorBidi"/>
      <w:i/>
      <w:iCs/>
      <w:color w:val="272727" w:themeColor="text1" w:themeTint="D8"/>
      <w:sz w:val="21"/>
      <w:szCs w:val="21"/>
    </w:rPr>
  </w:style>
  <w:style w:type="paragraph" w:customStyle="1" w:styleId="Default">
    <w:name w:val="Default"/>
    <w:rsid w:val="0009685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B2F80"/>
    <w:pPr>
      <w:spacing w:before="100" w:beforeAutospacing="1" w:after="100" w:afterAutospacing="1" w:line="240" w:lineRule="auto"/>
    </w:pPr>
    <w:rPr>
      <w:rFonts w:ascii="Calibri" w:hAnsi="Calibri" w:cs="Calibri"/>
      <w:lang w:eastAsia="en-GB"/>
    </w:rPr>
  </w:style>
  <w:style w:type="character" w:customStyle="1" w:styleId="para1span1">
    <w:name w:val="para1span1"/>
    <w:basedOn w:val="DefaultParagraphFont"/>
    <w:rsid w:val="00C2752B"/>
  </w:style>
  <w:style w:type="table" w:styleId="TableGrid">
    <w:name w:val="Table Grid"/>
    <w:basedOn w:val="TableNormal"/>
    <w:uiPriority w:val="59"/>
    <w:rsid w:val="008E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6138">
      <w:bodyDiv w:val="1"/>
      <w:marLeft w:val="0"/>
      <w:marRight w:val="0"/>
      <w:marTop w:val="0"/>
      <w:marBottom w:val="0"/>
      <w:divBdr>
        <w:top w:val="none" w:sz="0" w:space="0" w:color="auto"/>
        <w:left w:val="none" w:sz="0" w:space="0" w:color="auto"/>
        <w:bottom w:val="none" w:sz="0" w:space="0" w:color="auto"/>
        <w:right w:val="none" w:sz="0" w:space="0" w:color="auto"/>
      </w:divBdr>
    </w:div>
    <w:div w:id="13713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Watts</dc:creator>
  <cp:keywords/>
  <dc:description/>
  <cp:lastModifiedBy>Tim Watton</cp:lastModifiedBy>
  <cp:revision>2</cp:revision>
  <dcterms:created xsi:type="dcterms:W3CDTF">2019-11-11T08:17:00Z</dcterms:created>
  <dcterms:modified xsi:type="dcterms:W3CDTF">2019-11-11T08:17:00Z</dcterms:modified>
</cp:coreProperties>
</file>