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57B9" w14:textId="7731D5EC" w:rsidR="00CB1F2F" w:rsidRPr="00DC5A7E" w:rsidRDefault="00CB1F2F" w:rsidP="00DC5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</w:pPr>
      <w:bookmarkStart w:id="0" w:name="_gjdgxs" w:colFirst="0" w:colLast="0"/>
      <w:bookmarkEnd w:id="0"/>
      <w:r w:rsidRPr="00DC5A7E">
        <w:t>Lytchett Matravers Coronavirus/Covid-19 Emergency Fund</w:t>
      </w:r>
      <w:r w:rsidR="006C279D">
        <w:t xml:space="preserve"> </w:t>
      </w:r>
      <w:r w:rsidR="008110F3">
        <w:t>–</w:t>
      </w:r>
      <w:r w:rsidR="006C279D">
        <w:t xml:space="preserve"> </w:t>
      </w:r>
      <w:r w:rsidR="008110F3">
        <w:t>Fund Account</w:t>
      </w:r>
      <w:r w:rsidR="00DC5A7E">
        <w:tab/>
      </w:r>
      <w:r w:rsidR="00DC5A7E">
        <w:tab/>
      </w:r>
      <w:r w:rsidR="00DC5A7E">
        <w:tab/>
        <w:t xml:space="preserve"> April </w:t>
      </w:r>
      <w:r w:rsidR="008110F3">
        <w:t>30</w:t>
      </w:r>
      <w:r w:rsidR="00DC5A7E">
        <w:t>, 2020</w:t>
      </w:r>
    </w:p>
    <w:p w14:paraId="4790AC45" w14:textId="77777777" w:rsidR="00CB1F2F" w:rsidRDefault="00CB1F2F">
      <w:pPr>
        <w:spacing w:after="160" w:line="259" w:lineRule="auto"/>
      </w:pPr>
    </w:p>
    <w:p w14:paraId="6F9AA001" w14:textId="7D834C39" w:rsidR="00CB1F2F" w:rsidRDefault="00395707">
      <w:pPr>
        <w:spacing w:after="160" w:line="259" w:lineRule="auto"/>
      </w:pPr>
      <w:r>
        <w:t xml:space="preserve">The </w:t>
      </w:r>
      <w:r w:rsidR="00CB1F2F">
        <w:t>LM Coronavirus / Covid-19 Emergency Fund has been set up to generally help and assist any LM resident who has severe difficulties during this lockdown period.</w:t>
      </w:r>
      <w:r w:rsidR="006C72A3">
        <w:t xml:space="preserve"> </w:t>
      </w:r>
      <w:r w:rsidR="00CB1F2F">
        <w:t>The fund is hosted through JustGiving (</w:t>
      </w:r>
      <w:hyperlink r:id="rId5" w:history="1">
        <w:r w:rsidR="006C72A3" w:rsidRPr="0041108E">
          <w:rPr>
            <w:rStyle w:val="Hyperlink"/>
          </w:rPr>
          <w:t>https://www.justgiving.com/crowdfunding/lytchettmatraverscovid19emergencyfund</w:t>
        </w:r>
      </w:hyperlink>
      <w:r w:rsidR="00CB1F2F">
        <w:t>)</w:t>
      </w:r>
      <w:r w:rsidR="006C72A3">
        <w:t xml:space="preserve"> and via the grant obtained from the Dorset Coronavirus Community Fund.</w:t>
      </w:r>
    </w:p>
    <w:p w14:paraId="31101800" w14:textId="32311E9F" w:rsidR="008110F3" w:rsidRDefault="008110F3">
      <w:pPr>
        <w:spacing w:after="160" w:line="259" w:lineRule="auto"/>
      </w:pPr>
      <w:r>
        <w:t xml:space="preserve">All payments have been made in accordance with the </w:t>
      </w:r>
      <w:r w:rsidRPr="00DC5A7E">
        <w:t>Lytchett Matravers Coronavirus/Covid-19 Emergency Fund</w:t>
      </w:r>
      <w:r>
        <w:t xml:space="preserve"> Policy. Currently there have been two requests for funds that have not been met:</w:t>
      </w:r>
    </w:p>
    <w:p w14:paraId="1B302C0D" w14:textId="1F99758A" w:rsidR="00570574" w:rsidRDefault="008110F3" w:rsidP="00570574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A request for a grant of £200 to an anonymous recipient. </w:t>
      </w:r>
      <w:r w:rsidR="00570574">
        <w:t>This was not considered to be best practice. While a</w:t>
      </w:r>
      <w:r>
        <w:t>ll applications are dealt with in strictest confidence</w:t>
      </w:r>
      <w:r w:rsidR="00570574">
        <w:t>, there needs to be an audit trail of all payments. The recommendation was that the applicant apply through the established process.</w:t>
      </w:r>
    </w:p>
    <w:p w14:paraId="5D3EE00F" w14:textId="77777777" w:rsidR="0061748A" w:rsidRDefault="0061748A" w:rsidP="0061748A">
      <w:pPr>
        <w:pStyle w:val="ListParagraph"/>
        <w:spacing w:after="160" w:line="259" w:lineRule="auto"/>
        <w:ind w:left="360"/>
      </w:pPr>
    </w:p>
    <w:p w14:paraId="21708C8F" w14:textId="6AFEFC3C" w:rsidR="008110F3" w:rsidRDefault="00570574" w:rsidP="000E050D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A request for £228 for a </w:t>
      </w:r>
      <w:proofErr w:type="gramStart"/>
      <w:r>
        <w:t>3 month</w:t>
      </w:r>
      <w:proofErr w:type="gramEnd"/>
      <w:r>
        <w:t xml:space="preserve"> bus pass to Upton to be able to attend a </w:t>
      </w:r>
      <w:r w:rsidRPr="00570574">
        <w:rPr>
          <w:i/>
          <w:iCs/>
          <w:color w:val="000000"/>
        </w:rPr>
        <w:t xml:space="preserve">psychologist under Dr </w:t>
      </w:r>
      <w:proofErr w:type="spellStart"/>
      <w:r w:rsidRPr="00570574">
        <w:rPr>
          <w:i/>
          <w:iCs/>
          <w:color w:val="000000"/>
        </w:rPr>
        <w:t>Brittons</w:t>
      </w:r>
      <w:proofErr w:type="spellEnd"/>
      <w:r w:rsidRPr="00570574">
        <w:rPr>
          <w:i/>
          <w:iCs/>
          <w:color w:val="000000"/>
        </w:rPr>
        <w:t>’ referral.</w:t>
      </w:r>
      <w:r>
        <w:t xml:space="preserve"> The grant of £200 was rejected as insufficient. It later added that the recipient had talked about ending his life and due to his drug </w:t>
      </w:r>
      <w:proofErr w:type="gramStart"/>
      <w:r>
        <w:t>addiction</w:t>
      </w:r>
      <w:proofErr w:type="gramEnd"/>
      <w:r>
        <w:t xml:space="preserve"> he may not have spent the £200 on the bus pass. At this point the recommendation was that we needed to get a fuller picture of his situation and </w:t>
      </w:r>
      <w:proofErr w:type="gramStart"/>
      <w:r>
        <w:t>refer back</w:t>
      </w:r>
      <w:proofErr w:type="gramEnd"/>
      <w:r>
        <w:t xml:space="preserve"> to Dr. Britton. There is now a fact-finding exercise in progress including Dr. Britton.</w:t>
      </w:r>
    </w:p>
    <w:p w14:paraId="0EB15970" w14:textId="77777777" w:rsidR="00570574" w:rsidRDefault="00570574">
      <w:pPr>
        <w:spacing w:after="160" w:line="259" w:lineRule="auto"/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2389"/>
        <w:gridCol w:w="2568"/>
        <w:gridCol w:w="2438"/>
        <w:gridCol w:w="2568"/>
        <w:gridCol w:w="474"/>
        <w:gridCol w:w="6100"/>
      </w:tblGrid>
      <w:tr w:rsidR="008110F3" w:rsidRPr="008110F3" w14:paraId="4DB6BC59" w14:textId="77777777" w:rsidTr="000E050D">
        <w:trPr>
          <w:trHeight w:val="5389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881" w:type="dxa"/>
              <w:tblLook w:val="04A0" w:firstRow="1" w:lastRow="0" w:firstColumn="1" w:lastColumn="0" w:noHBand="0" w:noVBand="1"/>
            </w:tblPr>
            <w:tblGrid>
              <w:gridCol w:w="940"/>
              <w:gridCol w:w="996"/>
              <w:gridCol w:w="955"/>
              <w:gridCol w:w="996"/>
              <w:gridCol w:w="266"/>
              <w:gridCol w:w="6058"/>
            </w:tblGrid>
            <w:tr w:rsidR="000E050D" w:rsidRPr="000E050D" w14:paraId="0A6346B8" w14:textId="77777777" w:rsidTr="000E050D">
              <w:trPr>
                <w:trHeight w:val="285"/>
              </w:trPr>
              <w:tc>
                <w:tcPr>
                  <w:tcW w:w="9881" w:type="dxa"/>
                  <w:gridSpan w:val="6"/>
                  <w:tcBorders>
                    <w:top w:val="dashed" w:sz="4" w:space="0" w:color="D9D9D9"/>
                    <w:left w:val="dashed" w:sz="4" w:space="0" w:color="D9D9D9"/>
                    <w:bottom w:val="dashed" w:sz="4" w:space="0" w:color="D9D9D9"/>
                    <w:right w:val="dashed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5F6713E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LMPC Community Account - Transactions/Balance</w:t>
                  </w:r>
                </w:p>
              </w:tc>
            </w:tr>
            <w:tr w:rsidR="000E050D" w:rsidRPr="000E050D" w14:paraId="74454FFD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nil"/>
                    <w:left w:val="dashed" w:sz="4" w:space="0" w:color="D9D9D9"/>
                    <w:bottom w:val="nil"/>
                    <w:right w:val="dashed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D9CC99A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dashed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2EEDABC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dashed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04A2435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dashed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75BCAC9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nil"/>
                    <w:right w:val="dashed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77F7071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nil"/>
                    <w:right w:val="dashed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F09566D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</w:tr>
            <w:tr w:rsidR="000E050D" w:rsidRPr="000E050D" w14:paraId="05BD83B9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dashed" w:sz="4" w:space="0" w:color="BFBFBF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21A8630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April</w:t>
                  </w:r>
                </w:p>
              </w:tc>
              <w:tc>
                <w:tcPr>
                  <w:tcW w:w="961" w:type="dxa"/>
                  <w:tcBorders>
                    <w:top w:val="dashed" w:sz="4" w:space="0" w:color="BFBFBF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E9A9ADA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Income</w:t>
                  </w:r>
                </w:p>
              </w:tc>
              <w:tc>
                <w:tcPr>
                  <w:tcW w:w="912" w:type="dxa"/>
                  <w:tcBorders>
                    <w:top w:val="dashed" w:sz="4" w:space="0" w:color="BFBFBF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3C339EF9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Expense</w:t>
                  </w:r>
                </w:p>
              </w:tc>
              <w:tc>
                <w:tcPr>
                  <w:tcW w:w="961" w:type="dxa"/>
                  <w:tcBorders>
                    <w:top w:val="dashed" w:sz="4" w:space="0" w:color="BFBFBF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3668103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Balance</w:t>
                  </w:r>
                </w:p>
              </w:tc>
              <w:tc>
                <w:tcPr>
                  <w:tcW w:w="95" w:type="dxa"/>
                  <w:tcBorders>
                    <w:top w:val="dashed" w:sz="4" w:space="0" w:color="BFBFBF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E701FAA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dashed" w:sz="4" w:space="0" w:color="BFBFBF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E7B92DA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Notes</w:t>
                  </w:r>
                </w:p>
              </w:tc>
            </w:tr>
            <w:tr w:rsidR="000E050D" w:rsidRPr="000E050D" w14:paraId="00E1B0C2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2731178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3720A74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907C028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963AB53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FB08577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1FCF8CE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</w:tr>
            <w:tr w:rsidR="000E050D" w:rsidRPr="000E050D" w14:paraId="42A8538D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D46C59C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4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F17E849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3370C36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1DC6FB3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5.00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0B5F814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FFAC6C5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Opening balance</w:t>
                  </w:r>
                </w:p>
              </w:tc>
            </w:tr>
            <w:tr w:rsidR="000E050D" w:rsidRPr="000E050D" w14:paraId="28A702A2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E9A15D9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9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8450691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25.00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B19AF42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36554DE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30.00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1756C9D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70D4A411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Transferred £25 to pay for central phone number</w:t>
                  </w:r>
                </w:p>
              </w:tc>
            </w:tr>
            <w:tr w:rsidR="000E050D" w:rsidRPr="000E050D" w14:paraId="0AFE1A34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A1CCE67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11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E271F2F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3,000.00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DE418C7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28.15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29767CE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3,001.85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57617B0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3E778A36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Dial 9 - central phone number / Rockley Charitable Trust</w:t>
                  </w:r>
                </w:p>
              </w:tc>
            </w:tr>
            <w:tr w:rsidR="000E050D" w:rsidRPr="000E050D" w14:paraId="03CBAC16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13FF589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DBB6EE6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3A9A3723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600.00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941FB6D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2,401.85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35769E8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B868C92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Grant payments (3 x £200)</w:t>
                  </w:r>
                </w:p>
              </w:tc>
            </w:tr>
            <w:tr w:rsidR="000E050D" w:rsidRPr="000E050D" w14:paraId="7453764D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379582D0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21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7DC82F97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3D69F62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200.00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BAD18E3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2,201.85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AA0B5B4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26769D3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Grant payment (1 x £200)</w:t>
                  </w:r>
                </w:p>
              </w:tc>
            </w:tr>
            <w:tr w:rsidR="000E050D" w:rsidRPr="000E050D" w14:paraId="0EC5F6DE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0EE6015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22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3E8E611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8CEC4E2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45.48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F640078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2,156.37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A72EACA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5A61023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Volunteer expenses</w:t>
                  </w:r>
                </w:p>
              </w:tc>
            </w:tr>
            <w:tr w:rsidR="000E050D" w:rsidRPr="000E050D" w14:paraId="28A4F73D" w14:textId="77777777" w:rsidTr="000E050D">
              <w:trPr>
                <w:trHeight w:val="570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B9C688E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23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A63FB7C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2,167.04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8B38D1B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400.00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B38FC1A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3,923.41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42C739A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385B7BB1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Grant payments (2 x £200) / Just Giving receipt (£2,240 less fees)</w:t>
                  </w:r>
                </w:p>
              </w:tc>
            </w:tr>
            <w:tr w:rsidR="000E050D" w:rsidRPr="000E050D" w14:paraId="6C9E0D09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BADB301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24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31B91105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3CEB69F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200.00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C40C861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3,723.41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C540A2D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F17517D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Shopping cards delivered to LMA</w:t>
                  </w:r>
                </w:p>
              </w:tc>
            </w:tr>
            <w:tr w:rsidR="000E050D" w:rsidRPr="000E050D" w14:paraId="61E464A5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6671061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27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3AEC0153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AFBADD0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600.00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7447C42C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3,123.41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03DD45C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F087103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Grant payments (3 x £200)</w:t>
                  </w:r>
                </w:p>
              </w:tc>
            </w:tr>
            <w:tr w:rsidR="000E050D" w:rsidRPr="000E050D" w14:paraId="084A8960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1F5ED07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29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292EC47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797F2540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200.00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DC4F0B4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2,923.41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752E4F6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3226745B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Grant payment</w:t>
                  </w:r>
                </w:p>
              </w:tc>
            </w:tr>
            <w:tr w:rsidR="000E050D" w:rsidRPr="000E050D" w14:paraId="477C406B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E84D1D6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30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3872CDCB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74DB06D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A760A9B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2,923.41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D81C150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5E1EE36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</w:tr>
            <w:tr w:rsidR="000E050D" w:rsidRPr="000E050D" w14:paraId="2C37ABD9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4C0288F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AE0A7B3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778E6F3E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E4E88F9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5E97E38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399BE1F1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</w:tr>
            <w:tr w:rsidR="000E050D" w:rsidRPr="000E050D" w14:paraId="7AD2ABBE" w14:textId="77777777" w:rsidTr="000E050D">
              <w:trPr>
                <w:trHeight w:val="608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EC880BE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Pending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CFFDBDB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2,000.00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EA22A84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E45C825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61C0423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5BD7A49B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Income from the Dorset Coronavirus Community Fund to pay the first 10 grant applications.</w:t>
                  </w:r>
                </w:p>
              </w:tc>
            </w:tr>
            <w:tr w:rsidR="000E050D" w:rsidRPr="000E050D" w14:paraId="42797C04" w14:textId="77777777" w:rsidTr="000E050D">
              <w:trPr>
                <w:trHeight w:val="285"/>
              </w:trPr>
              <w:tc>
                <w:tcPr>
                  <w:tcW w:w="894" w:type="dxa"/>
                  <w:tcBorders>
                    <w:top w:val="nil"/>
                    <w:left w:val="dashed" w:sz="4" w:space="0" w:color="BFBFBF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7F138544" w14:textId="77777777" w:rsidR="000E050D" w:rsidRPr="000E050D" w:rsidRDefault="000E050D" w:rsidP="000E050D">
                  <w:pPr>
                    <w:jc w:val="center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AEC7B9D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1,886.17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D4EFDE4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A6EF515" w14:textId="77777777" w:rsidR="000E050D" w:rsidRPr="000E050D" w:rsidRDefault="000E050D" w:rsidP="000E050D">
                  <w:pPr>
                    <w:jc w:val="right"/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6,809.58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3DBD1DFD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6058" w:type="dxa"/>
                  <w:tcBorders>
                    <w:top w:val="nil"/>
                    <w:left w:val="nil"/>
                    <w:bottom w:val="dashed" w:sz="4" w:space="0" w:color="BFBFBF"/>
                    <w:right w:val="dashed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B345A50" w14:textId="77777777" w:rsidR="000E050D" w:rsidRPr="000E050D" w:rsidRDefault="000E050D" w:rsidP="000E050D">
                  <w:pPr>
                    <w:rPr>
                      <w:rFonts w:eastAsia="Times New Roman"/>
                      <w:color w:val="000000"/>
                      <w:lang w:val="en-GB"/>
                    </w:rPr>
                  </w:pPr>
                  <w:r w:rsidRPr="000E050D">
                    <w:rPr>
                      <w:rFonts w:eastAsia="Times New Roman"/>
                      <w:color w:val="000000"/>
                      <w:lang w:val="en-GB"/>
                    </w:rPr>
                    <w:t>Estimate of remaining JG balance after fees</w:t>
                  </w:r>
                </w:p>
              </w:tc>
            </w:tr>
          </w:tbl>
          <w:p w14:paraId="1CE71B44" w14:textId="40513EB4" w:rsidR="008110F3" w:rsidRPr="008110F3" w:rsidRDefault="008110F3" w:rsidP="008110F3">
            <w:pPr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DB3C7" w14:textId="77777777" w:rsidR="008110F3" w:rsidRPr="008110F3" w:rsidRDefault="008110F3" w:rsidP="008110F3">
            <w:pPr>
              <w:rPr>
                <w:rFonts w:eastAsia="Times New Roman"/>
                <w:color w:val="000000"/>
                <w:lang w:val="en-GB"/>
              </w:rPr>
            </w:pPr>
          </w:p>
        </w:tc>
      </w:tr>
      <w:tr w:rsidR="008110F3" w:rsidRPr="008110F3" w14:paraId="2EBC72BD" w14:textId="77777777" w:rsidTr="0061748A">
        <w:trPr>
          <w:trHeight w:val="28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4811D" w14:textId="77777777" w:rsidR="008110F3" w:rsidRPr="008110F3" w:rsidRDefault="008110F3" w:rsidP="008110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A2D20" w14:textId="77777777" w:rsidR="008110F3" w:rsidRPr="008110F3" w:rsidRDefault="008110F3" w:rsidP="008110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1D434" w14:textId="77777777" w:rsidR="008110F3" w:rsidRPr="008110F3" w:rsidRDefault="008110F3" w:rsidP="008110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6B5D7" w14:textId="77777777" w:rsidR="008110F3" w:rsidRPr="008110F3" w:rsidRDefault="008110F3" w:rsidP="008110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AE8FA" w14:textId="77777777" w:rsidR="008110F3" w:rsidRPr="008110F3" w:rsidRDefault="008110F3" w:rsidP="008110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8798F" w14:textId="77777777" w:rsidR="008110F3" w:rsidRPr="008110F3" w:rsidRDefault="008110F3" w:rsidP="008110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457CE93" w14:textId="77777777" w:rsidR="008110F3" w:rsidRDefault="008110F3">
      <w:pPr>
        <w:spacing w:after="160" w:line="259" w:lineRule="auto"/>
      </w:pPr>
    </w:p>
    <w:sectPr w:rsidR="008110F3" w:rsidSect="00D65085">
      <w:pgSz w:w="12240" w:h="15840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29F1"/>
    <w:multiLevelType w:val="hybridMultilevel"/>
    <w:tmpl w:val="96A47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43410"/>
    <w:multiLevelType w:val="hybridMultilevel"/>
    <w:tmpl w:val="F5EAB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D26CDA"/>
    <w:multiLevelType w:val="hybridMultilevel"/>
    <w:tmpl w:val="6B7AA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97D58"/>
    <w:multiLevelType w:val="hybridMultilevel"/>
    <w:tmpl w:val="CD6639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612D5D"/>
    <w:multiLevelType w:val="multilevel"/>
    <w:tmpl w:val="09E6F618"/>
    <w:lvl w:ilvl="0">
      <w:start w:val="1"/>
      <w:numFmt w:val="bullet"/>
      <w:lvlText w:val="●"/>
      <w:lvlJc w:val="left"/>
      <w:pPr>
        <w:ind w:left="14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25510E"/>
    <w:multiLevelType w:val="hybridMultilevel"/>
    <w:tmpl w:val="8D6E4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5D563E"/>
    <w:multiLevelType w:val="multilevel"/>
    <w:tmpl w:val="9F12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0E"/>
    <w:rsid w:val="000E050D"/>
    <w:rsid w:val="001B7883"/>
    <w:rsid w:val="00211413"/>
    <w:rsid w:val="00395707"/>
    <w:rsid w:val="003F6E0E"/>
    <w:rsid w:val="004A630F"/>
    <w:rsid w:val="00570574"/>
    <w:rsid w:val="0061748A"/>
    <w:rsid w:val="006613DD"/>
    <w:rsid w:val="006C279D"/>
    <w:rsid w:val="006C72A3"/>
    <w:rsid w:val="006E79C6"/>
    <w:rsid w:val="008110F3"/>
    <w:rsid w:val="00B440E2"/>
    <w:rsid w:val="00B60FD9"/>
    <w:rsid w:val="00C45810"/>
    <w:rsid w:val="00CB1F2F"/>
    <w:rsid w:val="00D65085"/>
    <w:rsid w:val="00D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EA3E"/>
  <w15:docId w15:val="{AA9E14D0-E4DA-47F8-BF8F-A7C103E6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CB1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2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2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stgiving.com/crowdfunding/lytchettmatraverscovid19emergency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Alf Bush</cp:lastModifiedBy>
  <cp:revision>2</cp:revision>
  <cp:lastPrinted>2020-04-10T10:25:00Z</cp:lastPrinted>
  <dcterms:created xsi:type="dcterms:W3CDTF">2020-04-30T11:09:00Z</dcterms:created>
  <dcterms:modified xsi:type="dcterms:W3CDTF">2020-04-30T11:09:00Z</dcterms:modified>
</cp:coreProperties>
</file>